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3C" w:rsidRDefault="00977D3C" w:rsidP="00977D3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1. По каждому виду водопользования, признаваемому объектом налогообложения в соответствии со </w:t>
      </w:r>
      <w:hyperlink r:id="rId5" w:anchor="dst533" w:history="1">
        <w:r>
          <w:rPr>
            <w:rStyle w:val="a3"/>
            <w:rFonts w:ascii="Arial" w:hAnsi="Arial" w:cs="Arial"/>
            <w:color w:val="666699"/>
            <w:u w:val="none"/>
          </w:rPr>
          <w:t>статьей 333.9</w:t>
        </w:r>
      </w:hyperlink>
      <w:r>
        <w:rPr>
          <w:rStyle w:val="blk"/>
          <w:rFonts w:ascii="Arial" w:hAnsi="Arial" w:cs="Arial"/>
          <w:color w:val="000000"/>
        </w:rPr>
        <w:t> настоящего Кодекса, налоговая база определяется налогоплательщиком отдельно в отношении каждого водного объекта.</w:t>
      </w:r>
    </w:p>
    <w:p w:rsidR="00977D3C" w:rsidRDefault="00977D3C" w:rsidP="00977D3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0" w:name="dst557"/>
      <w:bookmarkEnd w:id="0"/>
      <w:r>
        <w:rPr>
          <w:rStyle w:val="blk"/>
          <w:rFonts w:ascii="Arial" w:hAnsi="Arial" w:cs="Arial"/>
          <w:color w:val="000000"/>
        </w:rPr>
        <w:t>В случае, если в отношении водного объекта установлены различные налоговые ставки, налоговая база определяется налогоплательщиком применительно к каждой налоговой ставке.</w:t>
      </w:r>
    </w:p>
    <w:p w:rsidR="00977D3C" w:rsidRDefault="00977D3C" w:rsidP="00977D3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558"/>
      <w:bookmarkEnd w:id="1"/>
      <w:r>
        <w:rPr>
          <w:rStyle w:val="blk"/>
          <w:rFonts w:ascii="Arial" w:hAnsi="Arial" w:cs="Arial"/>
          <w:color w:val="000000"/>
        </w:rPr>
        <w:t>2. При заборе воды налоговая база определяется как объем воды, забранной из водного объекта за налоговый период.</w:t>
      </w:r>
    </w:p>
    <w:p w:rsidR="00977D3C" w:rsidRDefault="00977D3C" w:rsidP="00977D3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559"/>
      <w:bookmarkEnd w:id="2"/>
      <w:r>
        <w:rPr>
          <w:rStyle w:val="blk"/>
          <w:rFonts w:ascii="Arial" w:hAnsi="Arial" w:cs="Arial"/>
          <w:color w:val="000000"/>
        </w:rPr>
        <w:t>Объем воды, забранной из водного объекта, определяется на основании показаний водоизмерительных приборов, отражаемых в журнале первичного учета использования воды.</w:t>
      </w:r>
    </w:p>
    <w:p w:rsidR="00977D3C" w:rsidRDefault="00977D3C" w:rsidP="00977D3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560"/>
      <w:bookmarkEnd w:id="3"/>
      <w:r>
        <w:rPr>
          <w:rStyle w:val="blk"/>
          <w:rFonts w:ascii="Arial" w:hAnsi="Arial" w:cs="Arial"/>
          <w:color w:val="000000"/>
        </w:rPr>
        <w:t>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исходя из времени работы и производительности технических средств объем забранной воды определяется исходя из норм водопотребления.</w:t>
      </w:r>
    </w:p>
    <w:p w:rsidR="00977D3C" w:rsidRDefault="00977D3C" w:rsidP="00977D3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3181"/>
      <w:bookmarkEnd w:id="4"/>
      <w:r>
        <w:rPr>
          <w:rStyle w:val="blk"/>
          <w:rFonts w:ascii="Arial" w:hAnsi="Arial" w:cs="Arial"/>
          <w:color w:val="000000"/>
        </w:rPr>
        <w:t>3. При использовании акватории водных объектов, за исключением сплава древесины в плотах и кошелях, налоговая база определяется как площадь предоставленного водного пространства.</w:t>
      </w:r>
    </w:p>
    <w:p w:rsidR="00977D3C" w:rsidRDefault="00977D3C" w:rsidP="00977D3C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(в ред. Федерального </w:t>
      </w:r>
      <w:hyperlink r:id="rId6" w:anchor="dst100159" w:history="1">
        <w:r>
          <w:rPr>
            <w:rStyle w:val="a3"/>
            <w:rFonts w:ascii="Arial" w:hAnsi="Arial" w:cs="Arial"/>
            <w:color w:val="666699"/>
            <w:u w:val="none"/>
          </w:rPr>
          <w:t>закона</w:t>
        </w:r>
      </w:hyperlink>
      <w:r>
        <w:rPr>
          <w:rStyle w:val="blk"/>
          <w:rFonts w:ascii="Arial" w:hAnsi="Arial" w:cs="Arial"/>
          <w:color w:val="000000"/>
        </w:rPr>
        <w:t> от 04.12.2006 N 201-ФЗ)</w:t>
      </w:r>
    </w:p>
    <w:p w:rsidR="00977D3C" w:rsidRDefault="00977D3C" w:rsidP="00977D3C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977D3C" w:rsidRDefault="00977D3C" w:rsidP="00977D3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562"/>
      <w:bookmarkEnd w:id="5"/>
      <w:r>
        <w:rPr>
          <w:rStyle w:val="blk"/>
          <w:rFonts w:ascii="Arial" w:hAnsi="Arial" w:cs="Arial"/>
          <w:color w:val="000000"/>
        </w:rPr>
        <w:t>Площадь предоставленного водного пространства определяется по данным лицензии на водопользование (договора на водопользование), а в случае отсутствия в лицензии (договоре) таких данных по материалам соответствующей технической и проектной документации.</w:t>
      </w:r>
    </w:p>
    <w:p w:rsidR="00977D3C" w:rsidRDefault="00977D3C" w:rsidP="00977D3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6" w:name="dst563"/>
      <w:bookmarkEnd w:id="6"/>
      <w:r>
        <w:rPr>
          <w:rStyle w:val="blk"/>
          <w:rFonts w:ascii="Arial" w:hAnsi="Arial" w:cs="Arial"/>
          <w:color w:val="000000"/>
        </w:rPr>
        <w:t>4. При использовании водных объектов без забора воды для целей гидроэнергетики налоговая база определяется как количество произведенной за налоговый период электроэнергии.</w:t>
      </w:r>
    </w:p>
    <w:p w:rsidR="00977D3C" w:rsidRDefault="00977D3C" w:rsidP="00977D3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7" w:name="dst3182"/>
      <w:bookmarkEnd w:id="7"/>
      <w:r>
        <w:rPr>
          <w:rStyle w:val="blk"/>
          <w:rFonts w:ascii="Arial" w:hAnsi="Arial" w:cs="Arial"/>
          <w:color w:val="000000"/>
        </w:rPr>
        <w:t>5. При использовании водных объектов для целей сплава древесины в плотах и кошелях налоговая база определяется как произведение объема древесины, сплавляемой в плотах и кошелях за налоговый период, выраженного в тысячах кубических метров, и расстояния сплава, выраженного в километрах, деленного на 100.</w:t>
      </w:r>
    </w:p>
    <w:p w:rsidR="00977D3C" w:rsidRDefault="00977D3C" w:rsidP="00977D3C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(в ред. Федерального </w:t>
      </w:r>
      <w:hyperlink r:id="rId7" w:anchor="dst100159" w:history="1">
        <w:r>
          <w:rPr>
            <w:rStyle w:val="a3"/>
            <w:rFonts w:ascii="Arial" w:hAnsi="Arial" w:cs="Arial"/>
            <w:color w:val="666699"/>
            <w:u w:val="none"/>
          </w:rPr>
          <w:t>закона</w:t>
        </w:r>
      </w:hyperlink>
      <w:r>
        <w:rPr>
          <w:rStyle w:val="blk"/>
          <w:rFonts w:ascii="Arial" w:hAnsi="Arial" w:cs="Arial"/>
          <w:color w:val="000000"/>
        </w:rPr>
        <w:t> от 04.12.2006 N 201-ФЗ)</w:t>
      </w:r>
    </w:p>
    <w:p w:rsidR="00D1263E" w:rsidRPr="00977D3C" w:rsidRDefault="00D1263E" w:rsidP="00977D3C">
      <w:bookmarkStart w:id="8" w:name="_GoBack"/>
      <w:bookmarkEnd w:id="8"/>
    </w:p>
    <w:sectPr w:rsidR="00D1263E" w:rsidRPr="0097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57"/>
    <w:rsid w:val="00330B57"/>
    <w:rsid w:val="00977D3C"/>
    <w:rsid w:val="00D1263E"/>
    <w:rsid w:val="00E7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73EF4"/>
  </w:style>
  <w:style w:type="character" w:styleId="a3">
    <w:name w:val="Hyperlink"/>
    <w:basedOn w:val="a0"/>
    <w:uiPriority w:val="99"/>
    <w:semiHidden/>
    <w:unhideWhenUsed/>
    <w:rsid w:val="00E73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73EF4"/>
  </w:style>
  <w:style w:type="character" w:styleId="a3">
    <w:name w:val="Hyperlink"/>
    <w:basedOn w:val="a0"/>
    <w:uiPriority w:val="99"/>
    <w:semiHidden/>
    <w:unhideWhenUsed/>
    <w:rsid w:val="00E7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4300/9fdba7bedb441c57a55c77f449bf400feb99f44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4300/9fdba7bedb441c57a55c77f449bf400feb99f44b/" TargetMode="External"/><Relationship Id="rId5" Type="http://schemas.openxmlformats.org/officeDocument/2006/relationships/hyperlink" Target="http://www.consultant.ru/document/cons_doc_LAW_28165/5af946833961ac3d3a814d7c3aa76ddb79f1764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2017-08-09T04:54:00Z</dcterms:created>
  <dcterms:modified xsi:type="dcterms:W3CDTF">2017-08-09T04:56:00Z</dcterms:modified>
</cp:coreProperties>
</file>