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964" w:rsidRPr="008D22D1" w:rsidRDefault="00AE7964" w:rsidP="00AE7964">
      <w:pPr>
        <w:jc w:val="center"/>
        <w:rPr>
          <w:sz w:val="28"/>
          <w:szCs w:val="36"/>
        </w:rPr>
      </w:pPr>
      <w:r w:rsidRPr="008D22D1">
        <w:rPr>
          <w:sz w:val="28"/>
          <w:szCs w:val="36"/>
        </w:rPr>
        <w:t>Проект</w:t>
      </w:r>
    </w:p>
    <w:p w:rsidR="00AE7964" w:rsidRPr="008D22D1" w:rsidRDefault="00AE7964" w:rsidP="00AE7964">
      <w:pPr>
        <w:spacing w:after="0" w:line="240" w:lineRule="auto"/>
        <w:jc w:val="right"/>
        <w:rPr>
          <w:rFonts w:eastAsia="Times New Roman" w:cs="Times New Roman"/>
          <w:color w:val="000000"/>
          <w:sz w:val="18"/>
          <w:szCs w:val="21"/>
          <w:lang w:eastAsia="ru-RU"/>
        </w:rPr>
      </w:pPr>
      <w:r w:rsidRPr="008D22D1">
        <w:rPr>
          <w:rFonts w:eastAsia="Times New Roman" w:cs="Times New Roman"/>
          <w:color w:val="000000"/>
          <w:sz w:val="18"/>
          <w:szCs w:val="21"/>
          <w:lang w:eastAsia="ru-RU"/>
        </w:rPr>
        <w:br/>
      </w:r>
    </w:p>
    <w:p w:rsidR="00AE7964" w:rsidRPr="008D22D1" w:rsidRDefault="00AE7964" w:rsidP="00AE7964">
      <w:pPr>
        <w:spacing w:after="0" w:line="240" w:lineRule="auto"/>
        <w:rPr>
          <w:rFonts w:eastAsia="Times New Roman" w:cs="Times New Roman"/>
          <w:sz w:val="20"/>
          <w:szCs w:val="24"/>
          <w:lang w:eastAsia="ru-RU"/>
        </w:rPr>
      </w:pPr>
    </w:p>
    <w:p w:rsidR="00AE7964" w:rsidRPr="008D22D1" w:rsidRDefault="00AE7964" w:rsidP="00AE7964">
      <w:pPr>
        <w:spacing w:after="0" w:line="240" w:lineRule="auto"/>
        <w:jc w:val="center"/>
        <w:rPr>
          <w:rFonts w:eastAsia="Times New Roman" w:cs="Times New Roman"/>
          <w:color w:val="000000"/>
          <w:sz w:val="18"/>
          <w:szCs w:val="21"/>
          <w:lang w:eastAsia="ru-RU"/>
        </w:rPr>
      </w:pPr>
      <w:r w:rsidRPr="008D22D1">
        <w:rPr>
          <w:rFonts w:eastAsia="Times New Roman" w:cs="Times New Roman"/>
          <w:b/>
          <w:bCs/>
          <w:color w:val="000000"/>
          <w:sz w:val="18"/>
          <w:szCs w:val="21"/>
          <w:lang w:eastAsia="ru-RU"/>
        </w:rPr>
        <w:t>МИНИСТЕРСТВО ФИНАНСОВ РОССИЙСКОЙ ФЕДЕРАЦИИ</w:t>
      </w:r>
      <w:r w:rsidRPr="008D22D1">
        <w:rPr>
          <w:rFonts w:eastAsia="Times New Roman" w:cs="Times New Roman"/>
          <w:b/>
          <w:bCs/>
          <w:color w:val="000000"/>
          <w:sz w:val="18"/>
          <w:szCs w:val="21"/>
          <w:lang w:eastAsia="ru-RU"/>
        </w:rPr>
        <w:br/>
      </w:r>
      <w:r w:rsidRPr="008D22D1">
        <w:rPr>
          <w:rFonts w:eastAsia="Times New Roman" w:cs="Times New Roman"/>
          <w:b/>
          <w:bCs/>
          <w:color w:val="000000"/>
          <w:sz w:val="18"/>
          <w:szCs w:val="21"/>
          <w:lang w:eastAsia="ru-RU"/>
        </w:rPr>
        <w:br/>
        <w:t>ПРИКАЗ</w:t>
      </w:r>
      <w:r w:rsidRPr="008D22D1">
        <w:rPr>
          <w:rFonts w:eastAsia="Times New Roman" w:cs="Times New Roman"/>
          <w:b/>
          <w:bCs/>
          <w:color w:val="000000"/>
          <w:sz w:val="18"/>
          <w:szCs w:val="21"/>
          <w:lang w:eastAsia="ru-RU"/>
        </w:rPr>
        <w:br/>
      </w:r>
      <w:r w:rsidRPr="008D22D1">
        <w:rPr>
          <w:rFonts w:eastAsia="Times New Roman" w:cs="Times New Roman"/>
          <w:b/>
          <w:bCs/>
          <w:color w:val="000000"/>
          <w:sz w:val="18"/>
          <w:szCs w:val="21"/>
          <w:lang w:eastAsia="ru-RU"/>
        </w:rPr>
        <w:br/>
        <w:t>ПОЛОЖЕНИЕ ПО БУХГАЛТЕРСКОМУ УЧЕТУ</w:t>
      </w:r>
      <w:r w:rsidRPr="008D22D1">
        <w:rPr>
          <w:rFonts w:eastAsia="Times New Roman" w:cs="Times New Roman"/>
          <w:b/>
          <w:bCs/>
          <w:color w:val="000000"/>
          <w:sz w:val="18"/>
          <w:szCs w:val="21"/>
          <w:lang w:eastAsia="ru-RU"/>
        </w:rPr>
        <w:br/>
        <w:t>"ДОХОДЫ ОРГАНИЗАЦИИ" ПБУ 9/201_</w:t>
      </w:r>
    </w:p>
    <w:p w:rsidR="00AE7964" w:rsidRPr="008D22D1" w:rsidRDefault="00AE7964" w:rsidP="00AE7964">
      <w:pPr>
        <w:spacing w:after="0" w:line="240" w:lineRule="auto"/>
        <w:rPr>
          <w:rFonts w:eastAsia="Times New Roman" w:cs="Times New Roman"/>
          <w:sz w:val="20"/>
          <w:szCs w:val="24"/>
          <w:lang w:eastAsia="ru-RU"/>
        </w:rPr>
      </w:pPr>
    </w:p>
    <w:p w:rsidR="00AE7964" w:rsidRPr="008D22D1" w:rsidRDefault="00AE7964" w:rsidP="00AE7964">
      <w:pPr>
        <w:spacing w:after="0" w:line="240" w:lineRule="auto"/>
        <w:jc w:val="center"/>
        <w:rPr>
          <w:rFonts w:eastAsia="Times New Roman" w:cs="Times New Roman"/>
          <w:color w:val="000000"/>
          <w:sz w:val="18"/>
          <w:szCs w:val="21"/>
          <w:lang w:eastAsia="ru-RU"/>
        </w:rPr>
      </w:pPr>
      <w:r w:rsidRPr="008D22D1">
        <w:rPr>
          <w:rFonts w:eastAsia="Times New Roman" w:cs="Times New Roman"/>
          <w:b/>
          <w:bCs/>
          <w:color w:val="000000"/>
          <w:sz w:val="18"/>
          <w:szCs w:val="21"/>
          <w:lang w:eastAsia="ru-RU"/>
        </w:rPr>
        <w:t>I. Общие положения</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1. Настоящее Положение устанавливает общие правила формирования информации о доходах в бухгалтерском учете коммерческих организаций (за исключением кредитных организаций), являющихся юридическими лицами по законодательству Российской Федерации. В соответствии с настоящим Положением некоммерческие организации (за исключением государственных (муниципальных) учреждений) формируют информацию о доходах от предпринимательской деятельности.</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2. Иными положениями по бухгалтерскому учету устанавливаются особенности формирования в бухгалтерском учете организаций информации о доходах:</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 xml:space="preserve">а) </w:t>
      </w:r>
      <w:proofErr w:type="gramStart"/>
      <w:r w:rsidRPr="008D22D1">
        <w:rPr>
          <w:rFonts w:eastAsia="Times New Roman" w:cs="Times New Roman"/>
          <w:color w:val="000000"/>
          <w:sz w:val="18"/>
          <w:szCs w:val="21"/>
          <w:lang w:eastAsia="ru-RU"/>
        </w:rPr>
        <w:t>связанных</w:t>
      </w:r>
      <w:proofErr w:type="gramEnd"/>
      <w:r w:rsidRPr="008D22D1">
        <w:rPr>
          <w:rFonts w:eastAsia="Times New Roman" w:cs="Times New Roman"/>
          <w:color w:val="000000"/>
          <w:sz w:val="18"/>
          <w:szCs w:val="21"/>
          <w:lang w:eastAsia="ru-RU"/>
        </w:rPr>
        <w:t xml:space="preserve"> с предоставлением этими организациями имущества за плату во временное пользование (по договорам аренды, иным договорам);</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б) выступающих в качестве подрядчиков либо субподрядчиков в договорах строительного подряда;</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в) в результате увеличения стоимости активов.</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3. Доходами организации признается увеличение экономических выгод в результате поступления (увеличения стоимости) активов и (или) списания (уменьшения стоимости) обязательств, приводящее к увеличению капитала этой организации, за исключением поступлений, указанных в пункте 4 настоящего Положения.</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4. Для целей настоящего Положения не признаются доходами организации поступления:</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а) от учредителей, акционеров, участников, собственников организации (вкладов, взносов, денежных средств и иного имущества в счет формирования уставного фонда и т.п. поступления);</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б) от покупателей и заказчиков косвенных налогов, подлежащих уплате в бюджет;</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в) из бюджета в возмещение уплачиваемых налогов;</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г) от контрагента комиссионеру или агенту в связи с осуществлением ими комиссионных или агентских услуг (за исключением платы за сами услуги);</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д) от контрагентов в пользу третьих лиц в счет возмещения коммунальных платежей в арендных и иных аналогичных отношениях, компенсации оплаты транспортировки грузов и пр.;</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е) в виде разницы между фактическими затратами на выкуп собственных акций (долей) и их балансовой стоимостью.</w:t>
      </w:r>
    </w:p>
    <w:p w:rsidR="00EA059F" w:rsidRPr="008D22D1" w:rsidRDefault="00EA059F" w:rsidP="00AE7964">
      <w:pPr>
        <w:spacing w:after="0" w:line="240" w:lineRule="auto"/>
        <w:jc w:val="center"/>
        <w:rPr>
          <w:rFonts w:eastAsia="Times New Roman" w:cs="Times New Roman"/>
          <w:b/>
          <w:bCs/>
          <w:color w:val="000000"/>
          <w:sz w:val="18"/>
          <w:szCs w:val="21"/>
          <w:lang w:eastAsia="ru-RU"/>
        </w:rPr>
      </w:pPr>
    </w:p>
    <w:p w:rsidR="00AE7964" w:rsidRPr="008D22D1" w:rsidRDefault="00AE7964" w:rsidP="00AE7964">
      <w:pPr>
        <w:spacing w:after="0" w:line="240" w:lineRule="auto"/>
        <w:jc w:val="center"/>
        <w:rPr>
          <w:rFonts w:eastAsia="Times New Roman" w:cs="Times New Roman"/>
          <w:b/>
          <w:bCs/>
          <w:color w:val="000000"/>
          <w:sz w:val="18"/>
          <w:szCs w:val="21"/>
          <w:lang w:eastAsia="ru-RU"/>
        </w:rPr>
      </w:pPr>
      <w:r w:rsidRPr="008D22D1">
        <w:rPr>
          <w:rFonts w:eastAsia="Times New Roman" w:cs="Times New Roman"/>
          <w:b/>
          <w:bCs/>
          <w:color w:val="000000"/>
          <w:sz w:val="18"/>
          <w:szCs w:val="21"/>
          <w:lang w:eastAsia="ru-RU"/>
        </w:rPr>
        <w:t>II. Классификация доходов</w:t>
      </w:r>
    </w:p>
    <w:p w:rsidR="00EA059F" w:rsidRPr="008D22D1" w:rsidRDefault="00EA059F" w:rsidP="00AE7964">
      <w:pPr>
        <w:spacing w:after="0" w:line="240" w:lineRule="auto"/>
        <w:jc w:val="center"/>
        <w:rPr>
          <w:rFonts w:eastAsia="Times New Roman" w:cs="Times New Roman"/>
          <w:color w:val="000000"/>
          <w:sz w:val="18"/>
          <w:szCs w:val="21"/>
          <w:lang w:eastAsia="ru-RU"/>
        </w:rPr>
      </w:pP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5. В бухгалтерском учете доходы от деятельности организации, осуществляемой на продолжающейся (регулярной) основе, поддающейся планированию и прогнозированию и обеспечивающей стабильные поступления денежных средств (далее - обычная деятельность организации), обособляются от других доходов организации.</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6. Доходами от обычной деятельности организации (далее - выручка) являются доходы:</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а) от продажи продукции, товаров;</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б) от выполнения работ, оказания услуг;</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lastRenderedPageBreak/>
        <w:t>в) связанные с предоставлением имущества за плату во временное пользование (например, по договорам аренды);</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г) связанные с предоставлением права использования результата интеллектуальной деятельности или средства индивидуализации (далее - лицензионные доходы);</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д) от участия в уставном (складочном и ином) капитале других организаций (далее - дивидендные доходы);</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е) за предоставление денежных средств организации в пользование; за предоставление покупателям отсрочки (рассрочки) оплаты; за использование банком денежных средств, находящихся на счете организации в этом банке; по долговым ценным бумагам других лиц; разницы между ценами покупки и обратной продажи ценных бумаг по сделкам РЕПО. Указанные в настоящем пункте доходы далее именуются как процентные доходы.</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ж) от совместной деятельности при участии в простом товариществе, инвестиционном товариществе;</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з) иное увеличение экономических выгод в результате либо в связи с обычной деятельностью организации.</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7. Выручкой не являются:</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 xml:space="preserve">а) доходы от продажи </w:t>
      </w:r>
      <w:proofErr w:type="spellStart"/>
      <w:r w:rsidRPr="008D22D1">
        <w:rPr>
          <w:rFonts w:eastAsia="Times New Roman" w:cs="Times New Roman"/>
          <w:color w:val="000000"/>
          <w:sz w:val="18"/>
          <w:szCs w:val="21"/>
          <w:lang w:eastAsia="ru-RU"/>
        </w:rPr>
        <w:t>внеоборотных</w:t>
      </w:r>
      <w:proofErr w:type="spellEnd"/>
      <w:r w:rsidRPr="008D22D1">
        <w:rPr>
          <w:rFonts w:eastAsia="Times New Roman" w:cs="Times New Roman"/>
          <w:color w:val="000000"/>
          <w:sz w:val="18"/>
          <w:szCs w:val="21"/>
          <w:lang w:eastAsia="ru-RU"/>
        </w:rPr>
        <w:t xml:space="preserve"> активов;</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б) штрафы, пени, неустойки за нарушение условий договоров;</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 xml:space="preserve">в) </w:t>
      </w:r>
      <w:proofErr w:type="gramStart"/>
      <w:r w:rsidRPr="008D22D1">
        <w:rPr>
          <w:rFonts w:eastAsia="Times New Roman" w:cs="Times New Roman"/>
          <w:color w:val="000000"/>
          <w:sz w:val="18"/>
          <w:szCs w:val="21"/>
          <w:lang w:eastAsia="ru-RU"/>
        </w:rPr>
        <w:t>курсовые</w:t>
      </w:r>
      <w:proofErr w:type="gramEnd"/>
      <w:r w:rsidRPr="008D22D1">
        <w:rPr>
          <w:rFonts w:eastAsia="Times New Roman" w:cs="Times New Roman"/>
          <w:color w:val="000000"/>
          <w:sz w:val="18"/>
          <w:szCs w:val="21"/>
          <w:lang w:eastAsia="ru-RU"/>
        </w:rPr>
        <w:t xml:space="preserve"> разницы;</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г) поступления в возмещение причиненных организации убытков;</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д) доходы от списания кредиторской задолженности;</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е) доходы в связи с уменьшением стоимости оценочного обязательства;</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ж) иное увеличение экономических выгод, не связанное с обычной деятельностью организации.</w:t>
      </w:r>
    </w:p>
    <w:p w:rsidR="00AE7964" w:rsidRPr="008D22D1" w:rsidRDefault="00AE7964" w:rsidP="00AE7964">
      <w:pPr>
        <w:spacing w:after="0" w:line="240" w:lineRule="auto"/>
        <w:jc w:val="center"/>
        <w:rPr>
          <w:rFonts w:eastAsia="Times New Roman" w:cs="Times New Roman"/>
          <w:b/>
          <w:bCs/>
          <w:color w:val="000000"/>
          <w:sz w:val="18"/>
          <w:szCs w:val="21"/>
          <w:lang w:eastAsia="ru-RU"/>
        </w:rPr>
      </w:pPr>
      <w:r w:rsidRPr="008D22D1">
        <w:rPr>
          <w:rFonts w:eastAsia="Times New Roman" w:cs="Times New Roman"/>
          <w:b/>
          <w:bCs/>
          <w:color w:val="000000"/>
          <w:sz w:val="18"/>
          <w:szCs w:val="21"/>
          <w:lang w:eastAsia="ru-RU"/>
        </w:rPr>
        <w:t>III. Оценка доходов</w:t>
      </w:r>
    </w:p>
    <w:p w:rsidR="00EA059F" w:rsidRPr="008D22D1" w:rsidRDefault="00EA059F" w:rsidP="00AE7964">
      <w:pPr>
        <w:spacing w:after="0" w:line="240" w:lineRule="auto"/>
        <w:jc w:val="center"/>
        <w:rPr>
          <w:rFonts w:eastAsia="Times New Roman" w:cs="Times New Roman"/>
          <w:color w:val="000000"/>
          <w:sz w:val="18"/>
          <w:szCs w:val="21"/>
          <w:lang w:eastAsia="ru-RU"/>
        </w:rPr>
      </w:pP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8. Выручка оценивается в сумме поступлений денежных средств, их эквивалентов, иных ценностей, включая дебиторскую задолженность, с учетом особенностей, установленных настоящим Положением.</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9. Величина поступлений определяется исходя из условий договора между организацией и контрагентом. В случае если цена не предусмотрена в договоре и не может быть установлена исходя из его условий, то величина поступлений определяется как наиболее вероятная сумма, которая может быть получена организацией по договору.</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10. При продаже продукции, товаров, выполнении работ, оказании услуг на условиях отсрочки (рассрочки) оплаты на период, превышающий 12 месяцев после отчетной даты или меньший срок, установленный организацией, величина будущих денежных поступлений оценивается по их приведенной стоимости.</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Приведенная стоимость будущих денежных поступлений принимается равной сумме, которую организация - продавец получила бы за аналогичные продукцию, товары, работы или услуги, продавая их на обычных условиях оплаты без предоставления отсрочки (рассрочки). Указанная величина определяется на основе информации о сделках по продаже аналогичных продукции, товаров, работ или услуг, совершенных организацией в близкие даты (с разницей, как правило, не превышающей 3 месяца) на обычных условиях оплаты без предоставления отсрочки (рассрочки). При отсутствии информации о таких сделках указанная величина определяется на основе информации о переговорах с покупателем, получившим отсрочку (рассрочку), а также иной имеющейся у организации надёжной уместной информации.</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В случае если цена аналогичных продукции, товаров, работ или услуг при их продаже на обычных условиях оплаты без предоставления отсрочки (рассрочки) не может быть определена, то приведенная стоимость будущих денежных поступлений определяется путем дисконтирования их номинальных величин с использованием процентной ставки, по которой аналогичный покупатель может получить аналогичное заемное финансирование.</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 xml:space="preserve">Увеличение дебиторской задолженности </w:t>
      </w:r>
      <w:proofErr w:type="gramStart"/>
      <w:r w:rsidRPr="008D22D1">
        <w:rPr>
          <w:rFonts w:eastAsia="Times New Roman" w:cs="Times New Roman"/>
          <w:color w:val="000000"/>
          <w:sz w:val="18"/>
          <w:szCs w:val="21"/>
          <w:lang w:eastAsia="ru-RU"/>
        </w:rPr>
        <w:t>в связи с ростом приведенной стоимости будущих денежных поступлений на последующие отчетные даты по мере приближения сроков оплаты по договору</w:t>
      </w:r>
      <w:proofErr w:type="gramEnd"/>
      <w:r w:rsidRPr="008D22D1">
        <w:rPr>
          <w:rFonts w:eastAsia="Times New Roman" w:cs="Times New Roman"/>
          <w:color w:val="000000"/>
          <w:sz w:val="18"/>
          <w:szCs w:val="21"/>
          <w:lang w:eastAsia="ru-RU"/>
        </w:rPr>
        <w:t xml:space="preserve"> признается выручкой (процентный доход).</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 xml:space="preserve">11. Величина поступлений по договорам, предусматривающим исполнение обязательств (оплату) </w:t>
      </w:r>
      <w:proofErr w:type="spellStart"/>
      <w:r w:rsidRPr="008D22D1">
        <w:rPr>
          <w:rFonts w:eastAsia="Times New Roman" w:cs="Times New Roman"/>
          <w:color w:val="000000"/>
          <w:sz w:val="18"/>
          <w:szCs w:val="21"/>
          <w:lang w:eastAsia="ru-RU"/>
        </w:rPr>
        <w:t>неденежными</w:t>
      </w:r>
      <w:proofErr w:type="spellEnd"/>
      <w:r w:rsidRPr="008D22D1">
        <w:rPr>
          <w:rFonts w:eastAsia="Times New Roman" w:cs="Times New Roman"/>
          <w:color w:val="000000"/>
          <w:sz w:val="18"/>
          <w:szCs w:val="21"/>
          <w:lang w:eastAsia="ru-RU"/>
        </w:rPr>
        <w:t xml:space="preserve"> средствами, определяется как текущая рыночная стоимость полученных (подлежащих получению) ценностей (с учетом пункта 21 настоящего Положения).</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proofErr w:type="gramStart"/>
      <w:r w:rsidRPr="008D22D1">
        <w:rPr>
          <w:rFonts w:eastAsia="Times New Roman" w:cs="Times New Roman"/>
          <w:color w:val="000000"/>
          <w:sz w:val="18"/>
          <w:szCs w:val="21"/>
          <w:lang w:eastAsia="ru-RU"/>
        </w:rPr>
        <w:t>В случае если текущая рыночная стоимость полученных (подлежащих получению) ценностей не может быть определена, величина поступлений определяется исходя из текущей рыночной стоимости продукции, товаров, работ, услуг переданных (выполненных) или подлежащих передаче (выполнению) организацией, скорректированной на величину полученных (подлежащих получению) денежных средств, их эквивалентов.</w:t>
      </w:r>
      <w:proofErr w:type="gramEnd"/>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12. Величина поступлений определяется с учетом всех предоставляемых организацией по договору премий, скидок и иных поощрений в связи с продажей продукции, товаров, работ, услуг.</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13. При создании, списании и (или) корректировке резерва сомнительных долгов, относящегося к ранее признанной выручке, величина такой выручки не изменяется.</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 xml:space="preserve">14. Доходы от продажи </w:t>
      </w:r>
      <w:proofErr w:type="spellStart"/>
      <w:r w:rsidRPr="008D22D1">
        <w:rPr>
          <w:rFonts w:eastAsia="Times New Roman" w:cs="Times New Roman"/>
          <w:color w:val="000000"/>
          <w:sz w:val="18"/>
          <w:szCs w:val="21"/>
          <w:lang w:eastAsia="ru-RU"/>
        </w:rPr>
        <w:t>внеоборотных</w:t>
      </w:r>
      <w:proofErr w:type="spellEnd"/>
      <w:r w:rsidRPr="008D22D1">
        <w:rPr>
          <w:rFonts w:eastAsia="Times New Roman" w:cs="Times New Roman"/>
          <w:color w:val="000000"/>
          <w:sz w:val="18"/>
          <w:szCs w:val="21"/>
          <w:lang w:eastAsia="ru-RU"/>
        </w:rPr>
        <w:t xml:space="preserve"> активов определяются как величина превышения поступлений от продажи над остаточной стоимостью этих активов и затрат на вывод их из эксплуатации и продажу.</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15. Штрафы, пени, неустойки за нарушения условий договоров, а также поступления в возмещение причиненных организации убытков оцениваются в суммах, которые с высокой степенью вероятности будут взысканы с должника.</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16. Доход от списания кредиторской задолженности оценивается в сумме списываемой задолженности.</w:t>
      </w:r>
    </w:p>
    <w:p w:rsidR="00AE7964" w:rsidRPr="008D22D1" w:rsidRDefault="00AE7964" w:rsidP="00AE7964">
      <w:pPr>
        <w:spacing w:after="0" w:line="240" w:lineRule="auto"/>
        <w:jc w:val="center"/>
        <w:rPr>
          <w:rFonts w:eastAsia="Times New Roman" w:cs="Times New Roman"/>
          <w:b/>
          <w:bCs/>
          <w:color w:val="000000"/>
          <w:sz w:val="18"/>
          <w:szCs w:val="21"/>
          <w:lang w:eastAsia="ru-RU"/>
        </w:rPr>
      </w:pPr>
      <w:r w:rsidRPr="008D22D1">
        <w:rPr>
          <w:rFonts w:eastAsia="Times New Roman" w:cs="Times New Roman"/>
          <w:b/>
          <w:bCs/>
          <w:color w:val="000000"/>
          <w:sz w:val="18"/>
          <w:szCs w:val="21"/>
          <w:lang w:eastAsia="ru-RU"/>
        </w:rPr>
        <w:t>IV. Признание доходов</w:t>
      </w:r>
    </w:p>
    <w:p w:rsidR="00EA059F" w:rsidRPr="008D22D1" w:rsidRDefault="00EA059F" w:rsidP="00AE7964">
      <w:pPr>
        <w:spacing w:after="0" w:line="240" w:lineRule="auto"/>
        <w:jc w:val="center"/>
        <w:rPr>
          <w:rFonts w:eastAsia="Times New Roman" w:cs="Times New Roman"/>
          <w:color w:val="000000"/>
          <w:sz w:val="18"/>
          <w:szCs w:val="21"/>
          <w:lang w:eastAsia="ru-RU"/>
        </w:rPr>
      </w:pPr>
      <w:bookmarkStart w:id="0" w:name="_GoBack"/>
      <w:bookmarkEnd w:id="0"/>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17. Выручка от продажи продукции, товаров признается в бухгалтерском учете при одновременном соблюдении следующих условий:</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а) сумма выручки может быть определена;</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б) имеется уверенность в том, что в результате факта хозяйственной жизни произойдет увеличение экономических выгод организации;</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в) от организации к покупателю перешли основные экономические риски и выгоды, связанные с продукцией, товаром. Переход от организации к покупателю основных рисков и выгод, связанных с продукцией, товаром, может не совпадать с моментом перехода от организации к покупателю права собственности (владения, пользования и распоряжения) на продукцию, товар;</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г) организация более не контролирует проданную продукцию, товары;</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д) затраты, которые понесены или будут понесены в связи с получением выручки, могут быть определены.</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18. Выручка от выполнения работ, оказания услуг признается в бухгалтерском учете по мере их выполнения, оказания при одновременном соблюдении следующих условий:</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а) сумма выручки может быть определена;</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б) имеется уверенность в том, что в результате выполнения работ, оказания услуг произойдет увеличение экономических выгод организации;</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в) степень завершенности работ или услуг на отчетную дату может быть определена;</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г) затраты, которые понесены в связи с выполнением работ, оказанием услуг, и затраты, необходимые для их завершения, могут быть определены.</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19. Организация устанавливает способ (способы) определения степени завершенности работ, услуг на отчетную дату, обеспечивающий надежную оценку выполненных работ, оказанных услуг.</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20. По договорам на выполнение работ, оказание услуг, сроки начала и окончания которых приходятся на один отчетный год, организация может признавать выручку по моменту завершения работ (услуг) в целом или завершенным (сданным) этапам (стадиям), определенным в соответствии с условиями договора.</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21. Выручка не признается в бухгалтерском учете в случае обмена продукции, товаров, работ, услуг на сходные по характеру использования в деятельности организации и стоимости продукцию, товары, работы, услуги.</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22. Лицензионные, дивидендные, процентные доходы признаются в бухгалтерском учете при одновременном соблюдении следующих условий (с учетом изложенного в пунктах 24 - 27 настоящего Положения):</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а) сумма доходов может быть определена;</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б) имеется уверенность в том, что в результате факта хозяйственной жизни произойдет увеличение экономических выгод организации.</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23. Лицензионные доходы признаются на равномерной основе, если иное не вытекает из условий договора.</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 xml:space="preserve">24. Процентные доходы признаются в течение срока соответствующего договора исходя из сроков и сумм оплаты по условиям договора путем соответствующих процентных </w:t>
      </w:r>
      <w:proofErr w:type="gramStart"/>
      <w:r w:rsidRPr="008D22D1">
        <w:rPr>
          <w:rFonts w:eastAsia="Times New Roman" w:cs="Times New Roman"/>
          <w:color w:val="000000"/>
          <w:sz w:val="18"/>
          <w:szCs w:val="21"/>
          <w:lang w:eastAsia="ru-RU"/>
        </w:rPr>
        <w:t>начислений</w:t>
      </w:r>
      <w:proofErr w:type="gramEnd"/>
      <w:r w:rsidRPr="008D22D1">
        <w:rPr>
          <w:rFonts w:eastAsia="Times New Roman" w:cs="Times New Roman"/>
          <w:color w:val="000000"/>
          <w:sz w:val="18"/>
          <w:szCs w:val="21"/>
          <w:lang w:eastAsia="ru-RU"/>
        </w:rPr>
        <w:t xml:space="preserve"> на сумму числящейся на дату начисления дебиторской задолженности, финансового вложения.</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Организация определяет частоту начисления процентного дохода с учетом требования рациональности, частоты составления бухгалтерской отчетности, получения промежуточных выплат.</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Процентная ставка, применяемая для начисления процентного дохода, определяется при первоначальном признании дебиторской задолженности, долговых финансовых вложений (выданных займов, долговых ценных бумаг других лиц и др.) и впоследствии не изменяется, за исключением случаев изменения условий договора.</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25. Дивидендные доходы признаются в бухгалтерском учете, когда возникает право участников (владельцев, акционеров) на получение соответствующих выплат.</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26. Условия признания выручки, установленные в настоящем разделе, применяются отдельно к каждой сделке.</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В случае если договор содержит элементы нескольких сделок, то для целей признания выручки в бухгалтерском учете в договоре выделяются соответствующие части, к каждой из которых применяются и условия признания выручки в бухгалтерском учете.</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Пример. Договор продажи товара включает условие последующего технического обслуживания этого товара. В этом случае выручка, относящаяся к последующему техническому обслуживанию товара, (при условии определимости ее величины) признает в отчетных периодах, в которых будет производиться такое обслуживание.</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В случаях, когда два или более договора связаны таким образом, что по экономическому содержанию представляют собой единую сделку, условия признания выручки в бухгалтерском учете применяются к совокупности таких договоров, рассматриваемых для целей признания выручки в бухгалтерском учете как один договор.</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 xml:space="preserve">Пример. Одновременно с договором </w:t>
      </w:r>
      <w:proofErr w:type="spellStart"/>
      <w:r w:rsidRPr="008D22D1">
        <w:rPr>
          <w:rFonts w:eastAsia="Times New Roman" w:cs="Times New Roman"/>
          <w:color w:val="000000"/>
          <w:sz w:val="18"/>
          <w:szCs w:val="21"/>
          <w:lang w:eastAsia="ru-RU"/>
        </w:rPr>
        <w:t>продажы</w:t>
      </w:r>
      <w:proofErr w:type="spellEnd"/>
      <w:r w:rsidRPr="008D22D1">
        <w:rPr>
          <w:rFonts w:eastAsia="Times New Roman" w:cs="Times New Roman"/>
          <w:color w:val="000000"/>
          <w:sz w:val="18"/>
          <w:szCs w:val="21"/>
          <w:lang w:eastAsia="ru-RU"/>
        </w:rPr>
        <w:t xml:space="preserve"> товаров заключено соглашение, в соответствии с которым продавец принимает на себя обязанность по выкупу этих товаров у покупателя в будущем по установленной цене. В этом случае обе операции рассматриваются в совокупности, и выручка от продажи товаров в бухгалтерском учете не признается.</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27. Доходы организации, не являющиеся выручкой (внереализационные доходы), признаются в бухгалтерском учете в следующем порядке:</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 xml:space="preserve">а) поступления от продажи </w:t>
      </w:r>
      <w:proofErr w:type="spellStart"/>
      <w:r w:rsidRPr="008D22D1">
        <w:rPr>
          <w:rFonts w:eastAsia="Times New Roman" w:cs="Times New Roman"/>
          <w:color w:val="000000"/>
          <w:sz w:val="18"/>
          <w:szCs w:val="21"/>
          <w:lang w:eastAsia="ru-RU"/>
        </w:rPr>
        <w:t>внеоборотных</w:t>
      </w:r>
      <w:proofErr w:type="spellEnd"/>
      <w:r w:rsidRPr="008D22D1">
        <w:rPr>
          <w:rFonts w:eastAsia="Times New Roman" w:cs="Times New Roman"/>
          <w:color w:val="000000"/>
          <w:sz w:val="18"/>
          <w:szCs w:val="21"/>
          <w:lang w:eastAsia="ru-RU"/>
        </w:rPr>
        <w:t xml:space="preserve"> активов - в порядке, аналогичном </w:t>
      </w:r>
      <w:proofErr w:type="gramStart"/>
      <w:r w:rsidRPr="008D22D1">
        <w:rPr>
          <w:rFonts w:eastAsia="Times New Roman" w:cs="Times New Roman"/>
          <w:color w:val="000000"/>
          <w:sz w:val="18"/>
          <w:szCs w:val="21"/>
          <w:lang w:eastAsia="ru-RU"/>
        </w:rPr>
        <w:t>предусмотренному</w:t>
      </w:r>
      <w:proofErr w:type="gramEnd"/>
      <w:r w:rsidRPr="008D22D1">
        <w:rPr>
          <w:rFonts w:eastAsia="Times New Roman" w:cs="Times New Roman"/>
          <w:color w:val="000000"/>
          <w:sz w:val="18"/>
          <w:szCs w:val="21"/>
          <w:lang w:eastAsia="ru-RU"/>
        </w:rPr>
        <w:t xml:space="preserve"> пунктом 17 настоящего Положения;</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б) штрафы, пени, неустойки за нарушение условий договоров, а также поступления в возмещение причиненных организации убытков - в отчетном периоде, в котором у организации возникло право на их получение при наличии уверенности в том, что произойдет увеличение экономических выгод организации, и сумма дохода может быть определена. В случае если на момент возникновения соответствующего права у организации указанные условия не соблюдаются, штрафы, пени, неустойки за нарушение условий договоров, а также поступления в возмещение причиненных организации убытков признаются в бухгалтерском учете в отчетном периоде, в котором судом вынесено решение об их взыскании, или они признаны должником;</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в) доход от списания кредиторской задолженности - в отчетном периоде, в котором принято решение о списании кредиторской задолженности (в связи с истечением срока исковой давности, по иным причинам).</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28. Субъекты малого предпринимательства, за исключением эмитентов публично размещаемых ценных бумаг, вправе признавать доходы в бухгалтерском учете по мере поступления денежных средств от покупателей (заказчиков) при соблюдении условий, установленных подпунктами "а" "б" и "д" пункта 17 настоящего Положения.</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V. Раскрытие информации в бухгалтерской отчетности</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29. Доходы организации формируют прибыль (убыток) отчетного периода, если иное не установлено положениями по бухгалтерскому учету.</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30. В отчете о прибылях и убытках:</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а) выручка показывается отдельно от внереализационных доходов.</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б) несущественные виды внереализационных доходов могут показываться за минусом соответствующих расходов.</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31. В бухгалтерской отчетности обособленно подлежат раскрытию:</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а) в составе выручки - существенные поступления от продажи продукции и товаров, поступления, связанные с выполнением работ и оказанием услуг, лицензионные доходы, дивидендные доходы, процентные доходы;</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б) существенные виды внереализационных доходов.</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32. Доходы организации за отчетный период, которые в соответствии с правилами бухгалтерского учета не формируют прибыль (убыток) отчетного периода, подлежат раскрытию в бухгалтерской отчетности обособленно.</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33. В составе информации об учетной политике организации в бухгалтерской отчетности подлежат раскрытию, как минимум, способ (способы) определения степени завершенности работ, услуг на отчетную дату, этапа (стадии) завершенности работ, услуг.</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 xml:space="preserve">34. В отношении выручки по договорам, предусматривающим исполнение обязательств (оплату) </w:t>
      </w:r>
      <w:proofErr w:type="spellStart"/>
      <w:r w:rsidRPr="008D22D1">
        <w:rPr>
          <w:rFonts w:eastAsia="Times New Roman" w:cs="Times New Roman"/>
          <w:color w:val="000000"/>
          <w:sz w:val="18"/>
          <w:szCs w:val="21"/>
          <w:lang w:eastAsia="ru-RU"/>
        </w:rPr>
        <w:t>неденежными</w:t>
      </w:r>
      <w:proofErr w:type="spellEnd"/>
      <w:r w:rsidRPr="008D22D1">
        <w:rPr>
          <w:rFonts w:eastAsia="Times New Roman" w:cs="Times New Roman"/>
          <w:color w:val="000000"/>
          <w:sz w:val="18"/>
          <w:szCs w:val="21"/>
          <w:lang w:eastAsia="ru-RU"/>
        </w:rPr>
        <w:t xml:space="preserve"> средствами, подлежит раскрытию, как минимум, следующая информация:</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а) общее количество организаций, с которыми заключены указанные договоры, с указанием организаций, на которые приходится основная часть такой выручки;</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б) сумма выручки, полученной по указанным договорам, в составе каждого вида выручки (от продажи продукции, товаров, выполнения работ, оказания услуг);</w:t>
      </w:r>
    </w:p>
    <w:p w:rsidR="00AE7964" w:rsidRPr="008D22D1" w:rsidRDefault="00AE7964" w:rsidP="00AE7964">
      <w:pPr>
        <w:spacing w:before="120" w:after="240" w:line="240" w:lineRule="auto"/>
        <w:ind w:firstLine="150"/>
        <w:jc w:val="both"/>
        <w:rPr>
          <w:rFonts w:eastAsia="Times New Roman" w:cs="Times New Roman"/>
          <w:color w:val="000000"/>
          <w:sz w:val="18"/>
          <w:szCs w:val="21"/>
          <w:lang w:eastAsia="ru-RU"/>
        </w:rPr>
      </w:pPr>
      <w:r w:rsidRPr="008D22D1">
        <w:rPr>
          <w:rFonts w:eastAsia="Times New Roman" w:cs="Times New Roman"/>
          <w:color w:val="000000"/>
          <w:sz w:val="18"/>
          <w:szCs w:val="21"/>
          <w:lang w:eastAsia="ru-RU"/>
        </w:rPr>
        <w:t>в) способы оценки указанной выручки.</w:t>
      </w:r>
    </w:p>
    <w:p w:rsidR="00CB20A1" w:rsidRPr="008D22D1" w:rsidRDefault="00CB20A1">
      <w:pPr>
        <w:rPr>
          <w:sz w:val="18"/>
        </w:rPr>
      </w:pPr>
    </w:p>
    <w:sectPr w:rsidR="00CB20A1" w:rsidRPr="008D22D1" w:rsidSect="001E5B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savePreviewPicture/>
  <w:compat/>
  <w:rsids>
    <w:rsidRoot w:val="006E4A18"/>
    <w:rsid w:val="001E5BE9"/>
    <w:rsid w:val="006E4A18"/>
    <w:rsid w:val="008D22D1"/>
    <w:rsid w:val="00AE7964"/>
    <w:rsid w:val="00CB20A1"/>
    <w:rsid w:val="00EA05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9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9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9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2308</Words>
  <Characters>13157</Characters>
  <Application>Microsoft Office Word</Application>
  <DocSecurity>0</DocSecurity>
  <Lines>109</Lines>
  <Paragraphs>30</Paragraphs>
  <ScaleCrop>false</ScaleCrop>
  <Company/>
  <LinksUpToDate>false</LinksUpToDate>
  <CharactersWithSpaces>15435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гг</cp:lastModifiedBy>
  <cp:revision>2</cp:revision>
  <dcterms:created xsi:type="dcterms:W3CDTF">2016-09-12T13:44:00Z</dcterms:created>
  <dcterms:modified xsi:type="dcterms:W3CDTF">2016-09-12T13:44:00Z</dcterms:modified>
</cp:coreProperties>
</file>