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6F" w:rsidRPr="002A7A16" w:rsidRDefault="0094786F" w:rsidP="0094786F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color w:val="000000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t>Зарегистрировано в Минюсте РФ 14 декабря 2010 г. N 19171</w:t>
      </w:r>
    </w:p>
    <w:p w:rsidR="0094786F" w:rsidRPr="002A7A16" w:rsidRDefault="0094786F" w:rsidP="0094786F">
      <w:pPr>
        <w:spacing w:after="0" w:line="240" w:lineRule="auto"/>
        <w:ind w:left="225" w:right="225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b/>
          <w:bCs/>
          <w:color w:val="000000"/>
          <w:sz w:val="18"/>
          <w:szCs w:val="24"/>
          <w:lang w:eastAsia="ru-RU"/>
        </w:rPr>
        <w:t>МИНИСТЕРСТВО ФИНАНСОВ РОССИЙСКОЙ ФЕДЕРАЦИИ</w:t>
      </w:r>
      <w:r w:rsidRPr="002A7A16">
        <w:rPr>
          <w:rFonts w:ascii="Tahoma" w:eastAsia="Times New Roman" w:hAnsi="Tahoma" w:cs="Tahoma"/>
          <w:b/>
          <w:bCs/>
          <w:color w:val="000000"/>
          <w:sz w:val="18"/>
          <w:szCs w:val="24"/>
          <w:lang w:eastAsia="ru-RU"/>
        </w:rPr>
        <w:br/>
      </w:r>
      <w:r w:rsidRPr="002A7A16">
        <w:rPr>
          <w:rFonts w:ascii="Tahoma" w:eastAsia="Times New Roman" w:hAnsi="Tahoma" w:cs="Tahoma"/>
          <w:b/>
          <w:bCs/>
          <w:color w:val="000000"/>
          <w:sz w:val="18"/>
          <w:szCs w:val="24"/>
          <w:lang w:eastAsia="ru-RU"/>
        </w:rPr>
        <w:br/>
        <w:t>ПРИКАЗ</w:t>
      </w:r>
      <w:r w:rsidRPr="002A7A16">
        <w:rPr>
          <w:rFonts w:ascii="Tahoma" w:eastAsia="Times New Roman" w:hAnsi="Tahoma" w:cs="Tahoma"/>
          <w:b/>
          <w:bCs/>
          <w:color w:val="000000"/>
          <w:sz w:val="18"/>
          <w:szCs w:val="24"/>
          <w:lang w:eastAsia="ru-RU"/>
        </w:rPr>
        <w:br/>
        <w:t>от 08.11.10 N 143н</w:t>
      </w:r>
      <w:r w:rsidRPr="002A7A16">
        <w:rPr>
          <w:rFonts w:ascii="Tahoma" w:eastAsia="Times New Roman" w:hAnsi="Tahoma" w:cs="Tahoma"/>
          <w:b/>
          <w:bCs/>
          <w:color w:val="000000"/>
          <w:sz w:val="18"/>
          <w:szCs w:val="24"/>
          <w:lang w:eastAsia="ru-RU"/>
        </w:rPr>
        <w:br/>
      </w:r>
      <w:r w:rsidRPr="002A7A16">
        <w:rPr>
          <w:rFonts w:ascii="Tahoma" w:eastAsia="Times New Roman" w:hAnsi="Tahoma" w:cs="Tahoma"/>
          <w:b/>
          <w:bCs/>
          <w:color w:val="000000"/>
          <w:sz w:val="18"/>
          <w:szCs w:val="24"/>
          <w:lang w:eastAsia="ru-RU"/>
        </w:rPr>
        <w:br/>
        <w:t>ОБ УТВЕРЖДЕНИИ ПОЛОЖЕНИЯ</w:t>
      </w:r>
      <w:r w:rsidRPr="002A7A16">
        <w:rPr>
          <w:rFonts w:ascii="Tahoma" w:eastAsia="Times New Roman" w:hAnsi="Tahoma" w:cs="Tahoma"/>
          <w:b/>
          <w:bCs/>
          <w:color w:val="000000"/>
          <w:sz w:val="18"/>
          <w:szCs w:val="24"/>
          <w:lang w:eastAsia="ru-RU"/>
        </w:rPr>
        <w:br/>
        <w:t>ПО БУХГАЛТЕРСКОМУ УЧЕТУ "ИНФОРМАЦИЯ ПО СЕГМЕНТАМ" </w:t>
      </w:r>
      <w:r w:rsidRPr="002A7A16">
        <w:rPr>
          <w:rFonts w:ascii="Tahoma" w:eastAsia="Times New Roman" w:hAnsi="Tahoma" w:cs="Tahoma"/>
          <w:b/>
          <w:bCs/>
          <w:color w:val="000000"/>
          <w:sz w:val="18"/>
          <w:szCs w:val="24"/>
          <w:lang w:eastAsia="ru-RU"/>
        </w:rPr>
        <w:br/>
        <w:t>ПБУ 12/2010</w:t>
      </w:r>
    </w:p>
    <w:p w:rsidR="0094786F" w:rsidRPr="002A7A16" w:rsidRDefault="0094786F" w:rsidP="0094786F">
      <w:pPr>
        <w:spacing w:after="0" w:line="240" w:lineRule="auto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br/>
      </w:r>
    </w:p>
    <w:p w:rsidR="0094786F" w:rsidRPr="002A7A16" w:rsidRDefault="0094786F" w:rsidP="0094786F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color w:val="000000"/>
          <w:sz w:val="18"/>
          <w:szCs w:val="24"/>
          <w:lang w:eastAsia="ru-RU"/>
        </w:rPr>
      </w:pPr>
      <w:proofErr w:type="gramStart"/>
      <w:r w:rsidRPr="002A7A16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t>В целях совершенствования нормативно-правового регулирования в сфере бухгалтерского учета и бухгалтерской отчетности и 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N 329 (Собрание законодательства Российской Федерации, 2004, N 31, ст. 3258; N 49, ст. 4908; 2005, N 23, ст. 2270;N 52, ст. 5755; 2006, N 32, ст. 3569; N 47, ст. 4900; 2007, N 23, ст. 2801; N 45, ст. 5491; 2008, N 5, ст. 411; N 46, ст. 5337; 2009, N 3, ст. 378; N 6, ст. 738; N 8, ст. 973; N 11, ст. 1312; N 26, ст. 3212;N 31, ст. 3954; 2010, N 5, ст. 531; N 9, ст. 967; N 11, ст. 1224; N 26, ст. 3350; N 38, ст. 4844), приказываю:</w:t>
      </w:r>
      <w:proofErr w:type="gramEnd"/>
    </w:p>
    <w:p w:rsidR="0094786F" w:rsidRPr="002A7A16" w:rsidRDefault="0094786F" w:rsidP="0094786F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color w:val="000000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t>1. Утвердить прилагаемое Положение по бухгалтерскому учету "Информация по сегментам" (ПБУ 12/2010).</w:t>
      </w:r>
    </w:p>
    <w:p w:rsidR="0094786F" w:rsidRPr="002A7A16" w:rsidRDefault="0094786F" w:rsidP="0094786F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color w:val="000000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t>2. Установить, что настоящий Приказ вступает в силу с бухгалтерской отчетности за 2011 год.</w:t>
      </w:r>
    </w:p>
    <w:p w:rsidR="0094786F" w:rsidRPr="002A7A16" w:rsidRDefault="0094786F" w:rsidP="0094786F">
      <w:pPr>
        <w:spacing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t>Заместитель</w:t>
      </w:r>
      <w:r w:rsidRPr="002A7A16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br/>
        <w:t>Председателя Правительства</w:t>
      </w:r>
      <w:r w:rsidRPr="002A7A16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br/>
        <w:t>Российской Федерации -</w:t>
      </w:r>
      <w:r w:rsidRPr="002A7A16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br/>
        <w:t>Министр финансов</w:t>
      </w:r>
      <w:r w:rsidRPr="002A7A16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br/>
        <w:t>Российской Федерации</w:t>
      </w:r>
      <w:r w:rsidRPr="002A7A16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br/>
        <w:t>А.Л.КУДРИН</w:t>
      </w:r>
      <w:r w:rsidRPr="002A7A16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br/>
      </w:r>
      <w:r w:rsidRPr="002A7A16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br/>
        <w:t>Утверждено</w:t>
      </w:r>
      <w:r w:rsidRPr="002A7A16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br/>
        <w:t>Приказом Министерства финансов</w:t>
      </w:r>
      <w:r w:rsidRPr="002A7A16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br/>
        <w:t>Российской Федерации</w:t>
      </w:r>
      <w:r w:rsidRPr="002A7A16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br/>
        <w:t>от 08.11.2010 N 143н</w:t>
      </w:r>
    </w:p>
    <w:p w:rsidR="0094786F" w:rsidRPr="002A7A16" w:rsidRDefault="0094786F" w:rsidP="00A45A24">
      <w:pPr>
        <w:spacing w:line="240" w:lineRule="auto"/>
        <w:jc w:val="right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bookmarkStart w:id="0" w:name="_GoBack"/>
      <w:bookmarkEnd w:id="0"/>
    </w:p>
    <w:p w:rsidR="0094786F" w:rsidRPr="002A7A16" w:rsidRDefault="0094786F" w:rsidP="00A45A24">
      <w:pPr>
        <w:spacing w:line="240" w:lineRule="auto"/>
        <w:jc w:val="right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</w:p>
    <w:p w:rsidR="00A45A24" w:rsidRPr="002A7A16" w:rsidRDefault="00A45A24" w:rsidP="00A45A24">
      <w:pPr>
        <w:spacing w:line="240" w:lineRule="auto"/>
        <w:jc w:val="right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Утверждено</w:t>
      </w:r>
      <w:r w:rsidRPr="002A7A16">
        <w:rPr>
          <w:rFonts w:ascii="Tahoma" w:eastAsia="Times New Roman" w:hAnsi="Tahoma" w:cs="Tahoma"/>
          <w:sz w:val="18"/>
          <w:szCs w:val="24"/>
          <w:lang w:eastAsia="ru-RU"/>
        </w:rPr>
        <w:br/>
        <w:t>Приказом Министерства финансов</w:t>
      </w:r>
      <w:r w:rsidRPr="002A7A16">
        <w:rPr>
          <w:rFonts w:ascii="Tahoma" w:eastAsia="Times New Roman" w:hAnsi="Tahoma" w:cs="Tahoma"/>
          <w:sz w:val="18"/>
          <w:szCs w:val="24"/>
          <w:lang w:eastAsia="ru-RU"/>
        </w:rPr>
        <w:br/>
        <w:t>Российской Федерации</w:t>
      </w:r>
      <w:r w:rsidRPr="002A7A16">
        <w:rPr>
          <w:rFonts w:ascii="Tahoma" w:eastAsia="Times New Roman" w:hAnsi="Tahoma" w:cs="Tahoma"/>
          <w:sz w:val="18"/>
          <w:szCs w:val="24"/>
          <w:lang w:eastAsia="ru-RU"/>
        </w:rPr>
        <w:br/>
        <w:t>от 08.11.2010 N 143н</w:t>
      </w:r>
    </w:p>
    <w:p w:rsidR="00A45A24" w:rsidRPr="002A7A16" w:rsidRDefault="00A45A24" w:rsidP="00A45A24">
      <w:pPr>
        <w:spacing w:after="0" w:line="240" w:lineRule="auto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br/>
      </w:r>
    </w:p>
    <w:p w:rsidR="00A45A24" w:rsidRPr="002A7A16" w:rsidRDefault="00A45A24" w:rsidP="00A45A24">
      <w:pPr>
        <w:spacing w:after="0" w:line="240" w:lineRule="auto"/>
        <w:ind w:left="225" w:right="225"/>
        <w:jc w:val="center"/>
        <w:textAlignment w:val="baseline"/>
        <w:outlineLvl w:val="2"/>
        <w:rPr>
          <w:rFonts w:ascii="Tahoma" w:eastAsia="Times New Roman" w:hAnsi="Tahoma" w:cs="Tahoma"/>
          <w:b/>
          <w:bCs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b/>
          <w:bCs/>
          <w:sz w:val="18"/>
          <w:szCs w:val="24"/>
          <w:lang w:eastAsia="ru-RU"/>
        </w:rPr>
        <w:t>ПОЛОЖЕНИЕ</w:t>
      </w:r>
      <w:r w:rsidRPr="002A7A16">
        <w:rPr>
          <w:rFonts w:ascii="Tahoma" w:eastAsia="Times New Roman" w:hAnsi="Tahoma" w:cs="Tahoma"/>
          <w:b/>
          <w:bCs/>
          <w:sz w:val="18"/>
          <w:szCs w:val="24"/>
          <w:lang w:eastAsia="ru-RU"/>
        </w:rPr>
        <w:br/>
        <w:t>ПО БУХГАЛТЕРСКОМУ УЧЕТУ "ИНФОРМАЦИЯ ПО СЕГМЕНТАМ"</w:t>
      </w:r>
      <w:r w:rsidRPr="002A7A16">
        <w:rPr>
          <w:rFonts w:ascii="Tahoma" w:eastAsia="Times New Roman" w:hAnsi="Tahoma" w:cs="Tahoma"/>
          <w:b/>
          <w:bCs/>
          <w:sz w:val="18"/>
          <w:szCs w:val="24"/>
          <w:lang w:eastAsia="ru-RU"/>
        </w:rPr>
        <w:br/>
        <w:t>ПБУ 12/2010</w:t>
      </w:r>
    </w:p>
    <w:p w:rsidR="00A45A24" w:rsidRPr="002A7A16" w:rsidRDefault="00A45A24" w:rsidP="00A45A24">
      <w:pPr>
        <w:spacing w:after="0" w:line="240" w:lineRule="auto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br/>
      </w:r>
      <w:bookmarkStart w:id="1" w:name="1"/>
      <w:bookmarkEnd w:id="1"/>
    </w:p>
    <w:p w:rsidR="00A45A24" w:rsidRPr="002A7A16" w:rsidRDefault="00A45A24" w:rsidP="00A45A24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b/>
          <w:bCs/>
          <w:sz w:val="18"/>
          <w:szCs w:val="24"/>
          <w:bdr w:val="none" w:sz="0" w:space="0" w:color="auto" w:frame="1"/>
          <w:lang w:eastAsia="ru-RU"/>
        </w:rPr>
        <w:t>I. Общие положения</w:t>
      </w:r>
    </w:p>
    <w:p w:rsidR="00A45A24" w:rsidRPr="002A7A16" w:rsidRDefault="00A45A24" w:rsidP="00A45A24">
      <w:pPr>
        <w:spacing w:after="0" w:line="240" w:lineRule="auto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br/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1. Настоящее Положение устанавливает правила формирования и представления информации по сегментам в бухгалтерской отчетности коммерческих организаций (кроме кредитных организаций), являющихся юридическими лицами по законодательству Российской Федерации.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2. Организации - эмитенты публично размещаемых ценных бумаг должны раскрывать в пояснениях к бухгалтерской отчетности информацию по сегментам в соответствии с настоящим Положением. Иные организации применяют настоящее Положение в случае принятия ими решения о раскрытии информации по сегментам в бухгалтерской отчетности. Информация, не соответствующая требованиям настоящего Положения, не может именоваться в бухгалтерской отчетности информацией по сегментам.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lastRenderedPageBreak/>
        <w:t xml:space="preserve">3. </w:t>
      </w:r>
      <w:proofErr w:type="gramStart"/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Настоящее Положение не применяется при формировании отчетности, составляемой для государственного статистического наблюдения, отчетной информации, представляемой кредитной организации в соответствии с ее требованиями, и составления отчетной информации для иных специальных целей, если в правилах составления такой отчетности и информации не предусматривается использование настоящего Положения.</w:t>
      </w:r>
      <w:proofErr w:type="gramEnd"/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4. При раскрытии информации по сегментам организация применяет общие требования к представлению информации в бухгалтерской отчетности организаций, установленные нормативными правовыми актами по бухгалтерскому учету, с учетом требований настоящего Положения.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Раскрытие информации по сегментам должно обеспечивать заинтересованных пользователей бухгалтерской отчетности организации информацией, позволяющей оценить отраслевую специфику деятельности организации, ее хозяйственную структуру, распределение финансовых показателей по отдельным направлениям деятельности.</w:t>
      </w:r>
    </w:p>
    <w:p w:rsidR="00A45A24" w:rsidRPr="002A7A16" w:rsidRDefault="00A45A24" w:rsidP="00A45A24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bookmarkStart w:id="2" w:name="2"/>
      <w:bookmarkEnd w:id="2"/>
      <w:r w:rsidRPr="002A7A16">
        <w:rPr>
          <w:rFonts w:ascii="Tahoma" w:eastAsia="Times New Roman" w:hAnsi="Tahoma" w:cs="Tahoma"/>
          <w:b/>
          <w:bCs/>
          <w:sz w:val="18"/>
          <w:szCs w:val="24"/>
          <w:bdr w:val="none" w:sz="0" w:space="0" w:color="auto" w:frame="1"/>
          <w:lang w:eastAsia="ru-RU"/>
        </w:rPr>
        <w:t>II. Выделение сегментов</w:t>
      </w:r>
    </w:p>
    <w:p w:rsidR="00A45A24" w:rsidRPr="002A7A16" w:rsidRDefault="00A45A24" w:rsidP="00A45A24">
      <w:pPr>
        <w:spacing w:after="0" w:line="240" w:lineRule="auto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br/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5. Выделение сегментов заключается в обособлении информации о части деятельности организации: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а) которая способна приносить экономические выгоды и предполагающая соответствующие расходы (включая подразумеваемые выгоды и расходы от операций с другими сегментами);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б) результаты которой систематически анализируются лицами, наделенными в организации полномочиями по принятию решений в распределении ресурсов внутри организации и оценке этих результатов (далее - полномочные лица организации);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в) по которой могут быть сформированы финансовые показатели отдельно от показателей других частей деятельности организации.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6. В зависимости от организационной и управленческой структуры организации, а также ее системы внутренней отчетности основой выделения сегментов могут быть, в частности: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а) производимая продукция, закупаемые товары, выполняемые работы, оказываемые услуги;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б) основные покупатели (заказчики) продукции, товаров, работ, услуг;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в) географические регионы, в которых осуществляется деятельность;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г) структурные подразделения организации.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 xml:space="preserve">7. </w:t>
      </w:r>
      <w:proofErr w:type="gramStart"/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При выделении сегментов учитывается информация, используемая полномочными лицами организации, сведения, размещаемые в средствах массовой информации, иная доступная информация, в частности, управленческие документы по планированию, отчеты высшего органа управления организации, сведения, опубликованные на Интернет-сайте организации, и тому подобное.</w:t>
      </w:r>
      <w:proofErr w:type="gramEnd"/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8. Несколько сегментов могут быть определены как единый сегмент, если такое объединение соответствует целям настоящего Положения, а также при условии сходства следующих характеристик объединяемых сегментов: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а) характер (назначение) продукции, товаров, работ, услуг;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б) процесс производства продукции, закупки товаров, выполнения работ, оказания услуг;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в) покупатели (заказчики) продукции, товаров, работ, услуг;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г) способы продажи продукции, товаров, работ, услуг;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д) правовые условия деятельности (например, необходимость лицензии (разрешения), режим налогообложения);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е) другие характеристики.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9. Помимо условий выделения сегментов, предусмотренных пунктами 5 - 8 настоящего Положения, организация может использовать также следующие дополнительные условия: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а) специфический характер отдельного направления деятельности;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б) ответственность конкретных лиц за результаты отдельного направления деятельности;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в) обособленность информации, представляемой совету директоров (наблюдательному совету) организации;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г) другие условия.</w:t>
      </w:r>
    </w:p>
    <w:p w:rsidR="00A45A24" w:rsidRPr="002A7A16" w:rsidRDefault="00A45A24" w:rsidP="00A45A24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bookmarkStart w:id="3" w:name="3"/>
      <w:bookmarkEnd w:id="3"/>
      <w:r w:rsidRPr="002A7A16">
        <w:rPr>
          <w:rFonts w:ascii="Tahoma" w:eastAsia="Times New Roman" w:hAnsi="Tahoma" w:cs="Tahoma"/>
          <w:b/>
          <w:bCs/>
          <w:sz w:val="18"/>
          <w:szCs w:val="24"/>
          <w:bdr w:val="none" w:sz="0" w:space="0" w:color="auto" w:frame="1"/>
          <w:lang w:eastAsia="ru-RU"/>
        </w:rPr>
        <w:t>III. Отчетные сегменты</w:t>
      </w:r>
    </w:p>
    <w:p w:rsidR="00A45A24" w:rsidRPr="002A7A16" w:rsidRDefault="00A45A24" w:rsidP="00A45A24">
      <w:pPr>
        <w:spacing w:after="0" w:line="240" w:lineRule="auto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br/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10. Информация по сегменту, выделенному в качестве отчетного, обособленно раскрывается в бухгалтерской отчетности посредством включения в нее перечня показателей, установленного настоящим Положением.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Сегмент считается отчетным, если выполняется хотя бы одно из следующих условий: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а) выручка сегмента от продаж покупателям (заказчикам) организации и подразумеваемая выручка от операций с другими сегментами составляет не менее 10 процентов общей суммы выручки всех сегментов;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б) финансовый результат (прибыль или убыток) сегмента составляет не менее 10 процентов от наибольшей из двух величин: суммарной прибыли сегментов, финансовым результатом которых является прибыль, или суммарного убытка сегментов, финансовым результатом которых является убыток;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в) активы сегмента составляют не менее 10 процентов суммарных активов всех сегментов.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 xml:space="preserve">11. </w:t>
      </w:r>
      <w:proofErr w:type="gramStart"/>
      <w:r w:rsidRPr="002A7A16">
        <w:rPr>
          <w:rFonts w:ascii="Tahoma" w:eastAsia="Times New Roman" w:hAnsi="Tahoma" w:cs="Tahoma"/>
          <w:sz w:val="18"/>
          <w:szCs w:val="24"/>
          <w:lang w:eastAsia="ru-RU"/>
        </w:rPr>
        <w:t>Сегмент, показатели которого ниже предусмотренных пунктом 10 настоящего Положения, может быть выделен в качестве отчетного, если информация по данному сегменту будет полезной заинтересованным пользователям или если существует необходимость выделения большего количества отчетных сегментов для выполнения условия, предусмотренного пунктом 14 настоящего Положения.</w:t>
      </w:r>
      <w:proofErr w:type="gramEnd"/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12. Перечень отчетных сегментов определяется организацией исходя из ее организационной и управленческой структуры.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13. При определении перечня отчетных сегментов организация может объединить информацию по двум и более сегментам, показатели которых ниже предусмотренных пунктом 10 настоящего Положения, в том случае, если такое объединение соответствует требованиям настоящего Положения, а также при условии сходства объединяемых сегментов по характеристикам, предусмотренным пунктом 8 настоящего Положения.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14. На отчетные сегменты в бухгалтерской отчетности организации должно приходиться не менее 75 процентов выручки от продаж покупателям (заказчикам) организации.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Если на отчетные сегменты приходится менее 75 процентов выручки от продаж покупателям (заказчикам) организации, то должны быть выделены дополнительные отчетные сегменты независимо от того, удовлетворяет ли каждый из них в отдельности условиям, предусмотренным пунктом 10 настоящего Положения.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15. В случае если количество отчетных сегментов составляет более десяти, организация должна проанализировать возможность объединения отчетных сегментов в соответствии с пунктом 13 настоящего Положения.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16. Показатели, характеризующие деятельность, не включенную в отчетные сегменты, раскрываются в бухгалтерской отчетности как прочие сегменты.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17. При подготовке бухгалтерской отчетности должна быть обеспечена последовательность в определении перечня отчетных сегментов.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 xml:space="preserve">Если сегмент, выделенный в качестве отчетного в периоде, предшествующем </w:t>
      </w:r>
      <w:proofErr w:type="gramStart"/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отчетному</w:t>
      </w:r>
      <w:proofErr w:type="gramEnd"/>
      <w:r w:rsidRPr="002A7A16">
        <w:rPr>
          <w:rFonts w:ascii="Tahoma" w:eastAsia="Times New Roman" w:hAnsi="Tahoma" w:cs="Tahoma"/>
          <w:sz w:val="18"/>
          <w:szCs w:val="24"/>
          <w:lang w:eastAsia="ru-RU"/>
        </w:rPr>
        <w:t>, в отчетном периоде не соответствует условиям отчетного сегмента, но предполагается, что указанный сегмент будет выделяться как отчетный в будущем, такой сегмент выделяется в качестве отчетного сегмента в отчетном периоде.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proofErr w:type="gramStart"/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Если сегмент впервые стал удовлетворять условиям отчетного сегмента в отчетном периоде, то по нему должна быть представлена также сравнительная информация за предшествующие отчетному периоды, за исключением случаев, когда необходимая информация отсутствует и ее подготовка противоречит требованию рациональности.</w:t>
      </w:r>
      <w:proofErr w:type="gramEnd"/>
    </w:p>
    <w:p w:rsidR="00A45A24" w:rsidRPr="002A7A16" w:rsidRDefault="00A45A24" w:rsidP="00A45A24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bookmarkStart w:id="4" w:name="4"/>
      <w:bookmarkEnd w:id="4"/>
      <w:r w:rsidRPr="002A7A16">
        <w:rPr>
          <w:rFonts w:ascii="Tahoma" w:eastAsia="Times New Roman" w:hAnsi="Tahoma" w:cs="Tahoma"/>
          <w:b/>
          <w:bCs/>
          <w:sz w:val="18"/>
          <w:szCs w:val="24"/>
          <w:bdr w:val="none" w:sz="0" w:space="0" w:color="auto" w:frame="1"/>
          <w:lang w:eastAsia="ru-RU"/>
        </w:rPr>
        <w:t>IV. Оценка показателей отчетных сегментов</w:t>
      </w:r>
    </w:p>
    <w:p w:rsidR="00A45A24" w:rsidRPr="002A7A16" w:rsidRDefault="00A45A24" w:rsidP="00A45A24">
      <w:pPr>
        <w:spacing w:after="0" w:line="240" w:lineRule="auto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br/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18. Показатели отчетного сегмента, подлежащие раскрытию в соответствии с пунктами 24 - 27 настоящего Положения, приводятся в оценке, в которой они представляются полномочным лицам организации для принятия решений (по данным управленческого учета).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19. Выручка, расходы, активы и обязательства, относящиеся к двум и более отчетным сегментам, подлежат обоснованному распределению между данными сегментами. Способ распределения определяется организацией в зависимости от характера объектов учета, видов деятельности организации, степени обособленности отчетных сегментов. Организация должна последовательно применять основу распределения показателей между отчетными сегментами.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proofErr w:type="gramStart"/>
      <w:r w:rsidRPr="002A7A16">
        <w:rPr>
          <w:rFonts w:ascii="Tahoma" w:eastAsia="Times New Roman" w:hAnsi="Tahoma" w:cs="Tahoma"/>
          <w:sz w:val="18"/>
          <w:szCs w:val="24"/>
          <w:lang w:eastAsia="ru-RU"/>
        </w:rPr>
        <w:t>Распределенные выручка и расходы включаются в раскрываемый в бухгалтерской отчетности финансовый результат (прибыль, убыток) отчетного сегмента в том случае, если такие данные включаются в расчет финансового результата (прибыли, убытка) этого сегмента, используемого полномочными лицами организации для принятия решений.</w:t>
      </w:r>
      <w:proofErr w:type="gramEnd"/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 xml:space="preserve">20. </w:t>
      </w:r>
      <w:proofErr w:type="gramStart"/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В случае если полномочные лица организации для принятия решений используют несколько показателей финансового результата (прибыли, убытка), активов или обязательств отчетного сегмента, исчисленных по различным правилам, то в составе информации по отчетному сегменту в бухгалтерской отчетности организации указанные показатели приводятся в той оценке, которая наиболее соответствует правилам оценки аналогичных показателей по организации в целом, представляемых в ее бухгалтерской отчетности.</w:t>
      </w:r>
      <w:proofErr w:type="gramEnd"/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21. Показатели отчетного сегмента, подлежащие раскрытию в соответствии с пунктами 29 - 31 настоящего Положения, приводятся в оценке, применяемой для отражения в бухгалтерской отчетности аналогичных показателей организации в целом. Указанные показатели отчетного сегмента могут не раскрываться, когда их подготовка противоречит требованию рациональности.</w:t>
      </w:r>
    </w:p>
    <w:p w:rsidR="00A45A24" w:rsidRPr="002A7A16" w:rsidRDefault="00A45A24" w:rsidP="00A45A24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bookmarkStart w:id="5" w:name="5"/>
      <w:bookmarkEnd w:id="5"/>
      <w:r w:rsidRPr="002A7A16">
        <w:rPr>
          <w:rFonts w:ascii="Tahoma" w:eastAsia="Times New Roman" w:hAnsi="Tahoma" w:cs="Tahoma"/>
          <w:b/>
          <w:bCs/>
          <w:sz w:val="18"/>
          <w:szCs w:val="24"/>
          <w:bdr w:val="none" w:sz="0" w:space="0" w:color="auto" w:frame="1"/>
          <w:lang w:eastAsia="ru-RU"/>
        </w:rPr>
        <w:t>V. Раскрытие информации по отчетным сегментам</w:t>
      </w:r>
    </w:p>
    <w:p w:rsidR="00A45A24" w:rsidRPr="002A7A16" w:rsidRDefault="00A45A24" w:rsidP="00A45A24">
      <w:pPr>
        <w:spacing w:after="0" w:line="240" w:lineRule="auto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br/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22. Организация раскрывает в пояснениях к бухгалтерской отчетности следующую информацию по отчетным сегментам: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а) общую информацию;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б) показатели отчетных сегментов;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в) способы оценки показателей отчетных сегментов;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г) сопоставление совокупных показателей отчетных сегментов с величиной соответствующих статей бухгалтерского баланса или отчета о прибылях и убытках организации;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д) иную информацию, предусмотренную настоящим Положением.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23. В составе общей информации по отчетным сегментам организацией приводится: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а) описание основы выделения сегментов, признанных отчетными;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б) случаи объединения сегментов;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в) наименование вида (группы) продукции, товаров, работ, услуг, от продажи которых организация получает выручку в каждом из отчетных сегментов, а также в прочих сегментах.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24. По каждому отчетному сегменту раскрываются следующие показатели: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а) финансовый результат (прибыль или убыток) за отчетный период;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б) общая величина активов на отчетную дату;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в) общая величина обязательств на отчетную дату (если такие данные представляются полномочным лицам организации).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25. Организация раскрывает следующие показатели по каждому отчетному сегменту в случае их представления полномочным лицам организации на систематической основе, независимо от включения таких показателей в расчет финансового результата (прибыли, убытка) отчетного сегмента: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а) выручка от продаж покупателям (заказчикам) организации;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б) подразумеваемая выручка от операций с другими сегментами;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в) проценты (дивиденды) к получению;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г) проценты к уплате;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д) величина амортизационных отчислений по основным средствам и нематериальным активам;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е) иные существенные доходы и расходы;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ж) налог на прибыль организаций.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Допускается зачет между показателями "Проценты (дивиденды) к получению" и "Проценты к уплате" в случае, если проценты (дивиденды) к получению составляют большую часть доходов отчетного сегмента, и полномочным лицам организации представляется показатель, исчисляемый как проценты (дивиденды) к получению за вычетом процентов к уплате.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 xml:space="preserve">26. Организация раскрывает по каждому отчетному сегменту величину </w:t>
      </w:r>
      <w:proofErr w:type="spellStart"/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внеоборотных</w:t>
      </w:r>
      <w:proofErr w:type="spellEnd"/>
      <w:r w:rsidRPr="002A7A16">
        <w:rPr>
          <w:rFonts w:ascii="Tahoma" w:eastAsia="Times New Roman" w:hAnsi="Tahoma" w:cs="Tahoma"/>
          <w:sz w:val="18"/>
          <w:szCs w:val="24"/>
          <w:lang w:eastAsia="ru-RU"/>
        </w:rPr>
        <w:t xml:space="preserve"> активов в случае представления такого показателя полномочным лицам организации на систематической основе, независимо от включения этого показателя в расчет общей величины активов отчетного сегмента.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27. Организация раскрывает следующую информацию об оценке показателей, раскрываемых в пояснениях к бухгалтерской отчетности по каждому отчетному сегменту: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а) порядок учета операций между отчетными сегментами;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 xml:space="preserve">б) характер различий (если они не очевидны из результатов сопоставлений, раскрываемых в соответствии с пунктом 28 настоящего Положения) </w:t>
      </w:r>
      <w:proofErr w:type="gramStart"/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между</w:t>
      </w:r>
      <w:proofErr w:type="gramEnd"/>
      <w:r w:rsidRPr="002A7A16">
        <w:rPr>
          <w:rFonts w:ascii="Tahoma" w:eastAsia="Times New Roman" w:hAnsi="Tahoma" w:cs="Tahoma"/>
          <w:sz w:val="18"/>
          <w:szCs w:val="24"/>
          <w:lang w:eastAsia="ru-RU"/>
        </w:rPr>
        <w:t>: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показателем прибыли (убытка) организации до налогообложения и совокупным показателем прибыли (убытка) отчетных сегментов;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показателями активов и обязательств организации и совокупными показателями активов и обязательств отчетных сегментов;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в) характер изменений способов оценки показателей, используемых для определения финансового результата (прибыли, убытка) отчетного сегмента, по сравнению с предшествующими периодами и влияние таких изменений на финансовый результат (прибыль, убыток) отчетного сегмента в отчетном периоде;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г) описание различий в распределении данных между отчетными сегментами и их влияние на показатели этих сегментов в случаях, когда способ распределения выручки и расходов отличается от способа распределения активов и обязательств, с которыми эти выручка и расходы связаны.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28. Организация раскрывает результаты сопоставления суммарной величины следующих существенных показателей отчетных сегментов, включая показатели прочих сегментов, с величиной соответствующей статьи бухгалтерской отчетности организации: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а) суммарной величины выручки всех отчетных сегментов с показателем выручки организации;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б) суммарной величины показателей прибыли (убытка) отчетных сегментов с показателем прибыли (убытка) до налогообложения либо показателем чистой прибыли (убытка) за отчетный период, если организация распределяет на отчетные сегменты налог на прибыль организаций;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в) суммарной величины активов отчетных сегментов с величиной активов организации;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г) суммарной величины обязательств отчетных сегментов с величиной обязательств организации;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д) суммарной величины каждого существенного показателя, раскрываемого в отношении отчетных сегментов, с величиной соответствующей статьи бухгалтерской отчетности организации.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29. Организация раскрывает выручку от продаж покупателям (заказчикам) организации по каждому виду продукции, товаров, работ, услуг или однородных групп продукции, товаров, работ, услуг.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30. Организация раскрывает по каждому географическому региону деятельности следующую информацию: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а) величину выручки от продаж покупателям (заказчикам) организации, в том числе отдельно от продаж в Российской Федерации и от продаж за рубежом;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 xml:space="preserve">б) стоимость </w:t>
      </w:r>
      <w:proofErr w:type="spellStart"/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внеоборотных</w:t>
      </w:r>
      <w:proofErr w:type="spellEnd"/>
      <w:r w:rsidRPr="002A7A16">
        <w:rPr>
          <w:rFonts w:ascii="Tahoma" w:eastAsia="Times New Roman" w:hAnsi="Tahoma" w:cs="Tahoma"/>
          <w:sz w:val="18"/>
          <w:szCs w:val="24"/>
          <w:lang w:eastAsia="ru-RU"/>
        </w:rPr>
        <w:t xml:space="preserve"> активов по данным бухгалтерского баланса организации, в том числе размещенных на территории Российской Федерации, размещенных за рубежом.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 xml:space="preserve">Если величина выручки от продаж, полученной в отдельной стране, или стоимость </w:t>
      </w:r>
      <w:proofErr w:type="spellStart"/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внеоборотных</w:t>
      </w:r>
      <w:proofErr w:type="spellEnd"/>
      <w:r w:rsidRPr="002A7A16">
        <w:rPr>
          <w:rFonts w:ascii="Tahoma" w:eastAsia="Times New Roman" w:hAnsi="Tahoma" w:cs="Tahoma"/>
          <w:sz w:val="18"/>
          <w:szCs w:val="24"/>
          <w:lang w:eastAsia="ru-RU"/>
        </w:rPr>
        <w:t xml:space="preserve"> активов по данным бухгалтерского баланса организации, размещенных на территории отдельной страны, является существенной, такой показатель раскрывается обособленно. При этом организация должна раскрыть правила отнесения выручки от продаж к отдельным странам.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31. Организация раскрывает следующую информацию о покупателях (заказчиках), выручка от продаж которым составляет не менее 10 процентов общей выручки от продаж покупателям (заказчикам) организации: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а) наименование покупателя (заказчика);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б) общая величина выручки от продаж такому покупателю (заказчику);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в) наименование отчетного сегмента (отчетных сегментов), к которому относится данная выручка.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32. При изменении в отчетном периоде структуры отчетных сегментов сравнительная информация за периоды, предшествующие отчетному, должна быть пересчитана в соответствии с новой структурой отчетных сегментов, за исключением случаев, когда такая информация отсутствует и такой пересчет противоречит требованию рациональности. При этом пересчету подлежит сравнительная информация по каждому показателю отчетного сегмента.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Случаи пересчета (невозможности такого пересчета) подлежат раскрытию в составе информации по отчетным сегментам.</w:t>
      </w:r>
    </w:p>
    <w:p w:rsidR="00A45A24" w:rsidRPr="002A7A16" w:rsidRDefault="00A45A24" w:rsidP="00A45A24">
      <w:pPr>
        <w:spacing w:before="150" w:after="120" w:line="240" w:lineRule="auto"/>
        <w:ind w:left="225" w:right="225" w:firstLine="150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  <w:r w:rsidRPr="002A7A16">
        <w:rPr>
          <w:rFonts w:ascii="Tahoma" w:eastAsia="Times New Roman" w:hAnsi="Tahoma" w:cs="Tahoma"/>
          <w:sz w:val="18"/>
          <w:szCs w:val="24"/>
          <w:lang w:eastAsia="ru-RU"/>
        </w:rPr>
        <w:t>Если сравнительная информация не пересчитана в соответствии с новой структурой отчетных сегментов, информация по сегментам за отчетный период должна быть представлена в разрезе как прежней, так и новой структуры сегментов.</w:t>
      </w:r>
    </w:p>
    <w:p w:rsidR="00A45A24" w:rsidRPr="002A7A16" w:rsidRDefault="00A45A24" w:rsidP="00A45A24">
      <w:pPr>
        <w:spacing w:line="240" w:lineRule="auto"/>
        <w:jc w:val="right"/>
        <w:textAlignment w:val="baseline"/>
        <w:rPr>
          <w:rFonts w:ascii="Tahoma" w:eastAsia="Times New Roman" w:hAnsi="Tahoma" w:cs="Tahoma"/>
          <w:sz w:val="18"/>
          <w:szCs w:val="24"/>
          <w:lang w:eastAsia="ru-RU"/>
        </w:rPr>
      </w:pPr>
    </w:p>
    <w:p w:rsidR="00EC1333" w:rsidRPr="002A7A16" w:rsidRDefault="00A45A24" w:rsidP="00A45A24">
      <w:pPr>
        <w:rPr>
          <w:rFonts w:ascii="Tahoma" w:hAnsi="Tahoma" w:cs="Tahoma"/>
          <w:sz w:val="16"/>
        </w:rPr>
      </w:pPr>
      <w:r w:rsidRPr="002A7A16">
        <w:rPr>
          <w:rFonts w:ascii="Tahoma" w:eastAsia="Times New Roman" w:hAnsi="Tahoma" w:cs="Tahoma"/>
          <w:color w:val="000000"/>
          <w:sz w:val="16"/>
          <w:szCs w:val="21"/>
          <w:bdr w:val="none" w:sz="0" w:space="0" w:color="auto" w:frame="1"/>
          <w:lang w:eastAsia="ru-RU"/>
        </w:rPr>
        <w:br/>
      </w:r>
    </w:p>
    <w:sectPr w:rsidR="00EC1333" w:rsidRPr="002A7A16" w:rsidSect="0033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64B0"/>
    <w:rsid w:val="002A7A16"/>
    <w:rsid w:val="003357EA"/>
    <w:rsid w:val="0094786F"/>
    <w:rsid w:val="00A45A24"/>
    <w:rsid w:val="00CC64B0"/>
    <w:rsid w:val="00EC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3377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081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9312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2586</Words>
  <Characters>14742</Characters>
  <Application>Microsoft Office Word</Application>
  <DocSecurity>0</DocSecurity>
  <Lines>122</Lines>
  <Paragraphs>34</Paragraphs>
  <ScaleCrop>false</ScaleCrop>
  <Company/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гг</cp:lastModifiedBy>
  <cp:revision>2</cp:revision>
  <dcterms:created xsi:type="dcterms:W3CDTF">2016-09-12T12:06:00Z</dcterms:created>
  <dcterms:modified xsi:type="dcterms:W3CDTF">2016-09-12T12:06:00Z</dcterms:modified>
</cp:coreProperties>
</file>