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1. При определении размера налоговой базы в соответствии с </w:t>
      </w:r>
      <w:hyperlink r:id="rId5" w:anchor="dst101120" w:history="1">
        <w:r w:rsidRPr="00256E4A">
          <w:rPr>
            <w:rFonts w:ascii="Arial" w:eastAsia="Times New Roman" w:hAnsi="Arial" w:cs="Arial"/>
            <w:color w:val="666699"/>
            <w:sz w:val="24"/>
            <w:szCs w:val="24"/>
            <w:lang w:eastAsia="ru-RU"/>
          </w:rPr>
          <w:t>пунктом 3 статьи 210</w:t>
        </w:r>
      </w:hyperlink>
      <w:r w:rsidRPr="00256E4A">
        <w:rPr>
          <w:rFonts w:ascii="Arial" w:eastAsia="Times New Roman" w:hAnsi="Arial" w:cs="Arial"/>
          <w:color w:val="000000"/>
          <w:sz w:val="24"/>
          <w:szCs w:val="24"/>
          <w:lang w:eastAsia="ru-RU"/>
        </w:rPr>
        <w:t>, со </w:t>
      </w:r>
      <w:hyperlink r:id="rId6" w:anchor="dst13178" w:history="1">
        <w:r w:rsidRPr="00256E4A">
          <w:rPr>
            <w:rFonts w:ascii="Arial" w:eastAsia="Times New Roman" w:hAnsi="Arial" w:cs="Arial"/>
            <w:color w:val="666699"/>
            <w:sz w:val="24"/>
            <w:szCs w:val="24"/>
            <w:lang w:eastAsia="ru-RU"/>
          </w:rPr>
          <w:t>статьями 214.1</w:t>
        </w:r>
      </w:hyperlink>
      <w:r w:rsidRPr="00256E4A">
        <w:rPr>
          <w:rFonts w:ascii="Arial" w:eastAsia="Times New Roman" w:hAnsi="Arial" w:cs="Arial"/>
          <w:color w:val="000000"/>
          <w:sz w:val="24"/>
          <w:szCs w:val="24"/>
          <w:lang w:eastAsia="ru-RU"/>
        </w:rPr>
        <w:t> и </w:t>
      </w:r>
      <w:hyperlink r:id="rId7" w:anchor="dst12326" w:history="1">
        <w:r w:rsidRPr="00256E4A">
          <w:rPr>
            <w:rFonts w:ascii="Arial" w:eastAsia="Times New Roman" w:hAnsi="Arial" w:cs="Arial"/>
            <w:color w:val="666699"/>
            <w:sz w:val="24"/>
            <w:szCs w:val="24"/>
            <w:lang w:eastAsia="ru-RU"/>
          </w:rPr>
          <w:t>214.9</w:t>
        </w:r>
      </w:hyperlink>
      <w:r w:rsidRPr="00256E4A">
        <w:rPr>
          <w:rFonts w:ascii="Arial" w:eastAsia="Times New Roman" w:hAnsi="Arial" w:cs="Arial"/>
          <w:color w:val="000000"/>
          <w:sz w:val="24"/>
          <w:szCs w:val="24"/>
          <w:lang w:eastAsia="ru-RU"/>
        </w:rPr>
        <w:t> настоящего Кодекса налогоплательщик имеет право на получение следующих инвестиционных налоговых вычетов, предоставляемых с учетом особенностей и в порядке, которые предусмотрены настоящей статьей:</w:t>
      </w:r>
    </w:p>
    <w:p w:rsidR="00256E4A" w:rsidRPr="00256E4A" w:rsidRDefault="00256E4A" w:rsidP="00256E4A">
      <w:pPr>
        <w:shd w:val="clear" w:color="auto" w:fill="FFFFFF"/>
        <w:spacing w:after="0" w:line="266" w:lineRule="atLeast"/>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(в ред. Федерального </w:t>
      </w:r>
      <w:hyperlink r:id="rId8" w:anchor="dst100032" w:history="1">
        <w:r w:rsidRPr="00256E4A">
          <w:rPr>
            <w:rFonts w:ascii="Arial" w:eastAsia="Times New Roman" w:hAnsi="Arial" w:cs="Arial"/>
            <w:color w:val="666699"/>
            <w:sz w:val="24"/>
            <w:szCs w:val="24"/>
            <w:lang w:eastAsia="ru-RU"/>
          </w:rPr>
          <w:t>закона</w:t>
        </w:r>
      </w:hyperlink>
      <w:r w:rsidRPr="00256E4A">
        <w:rPr>
          <w:rFonts w:ascii="Arial" w:eastAsia="Times New Roman" w:hAnsi="Arial" w:cs="Arial"/>
          <w:color w:val="000000"/>
          <w:sz w:val="24"/>
          <w:szCs w:val="24"/>
          <w:lang w:eastAsia="ru-RU"/>
        </w:rPr>
        <w:t> от 28.11.2015 N 327-ФЗ)</w:t>
      </w:r>
    </w:p>
    <w:p w:rsidR="00256E4A" w:rsidRPr="00256E4A" w:rsidRDefault="00256E4A" w:rsidP="00256E4A">
      <w:pPr>
        <w:shd w:val="clear" w:color="auto" w:fill="FFFFFF"/>
        <w:spacing w:after="0" w:line="266" w:lineRule="atLeast"/>
        <w:jc w:val="both"/>
        <w:rPr>
          <w:rFonts w:ascii="Arial" w:eastAsia="Times New Roman" w:hAnsi="Arial" w:cs="Arial"/>
          <w:color w:val="333333"/>
          <w:sz w:val="24"/>
          <w:szCs w:val="24"/>
          <w:lang w:eastAsia="ru-RU"/>
        </w:rPr>
      </w:pPr>
      <w:r w:rsidRPr="00256E4A">
        <w:rPr>
          <w:rFonts w:ascii="Arial" w:eastAsia="Times New Roman" w:hAnsi="Arial" w:cs="Arial"/>
          <w:color w:val="333333"/>
          <w:sz w:val="24"/>
          <w:szCs w:val="24"/>
          <w:lang w:eastAsia="ru-RU"/>
        </w:rPr>
        <w:t>(см. текст в предыдущей редакции)</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9542"/>
      <w:bookmarkEnd w:id="0"/>
      <w:r w:rsidRPr="00256E4A">
        <w:rPr>
          <w:rFonts w:ascii="Arial" w:eastAsia="Times New Roman" w:hAnsi="Arial" w:cs="Arial"/>
          <w:color w:val="000000"/>
          <w:sz w:val="24"/>
          <w:szCs w:val="24"/>
          <w:lang w:eastAsia="ru-RU"/>
        </w:rPr>
        <w:t>1) в размере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w:t>
      </w:r>
      <w:hyperlink r:id="rId9" w:anchor="dst4608" w:history="1">
        <w:r w:rsidRPr="00256E4A">
          <w:rPr>
            <w:rFonts w:ascii="Arial" w:eastAsia="Times New Roman" w:hAnsi="Arial" w:cs="Arial"/>
            <w:color w:val="666699"/>
            <w:sz w:val="24"/>
            <w:szCs w:val="24"/>
            <w:lang w:eastAsia="ru-RU"/>
          </w:rPr>
          <w:t>подпунктах 1</w:t>
        </w:r>
      </w:hyperlink>
      <w:r w:rsidRPr="00256E4A">
        <w:rPr>
          <w:rFonts w:ascii="Arial" w:eastAsia="Times New Roman" w:hAnsi="Arial" w:cs="Arial"/>
          <w:color w:val="000000"/>
          <w:sz w:val="24"/>
          <w:szCs w:val="24"/>
          <w:lang w:eastAsia="ru-RU"/>
        </w:rPr>
        <w:t> и </w:t>
      </w:r>
      <w:hyperlink r:id="rId10" w:anchor="dst4609" w:history="1">
        <w:r w:rsidRPr="00256E4A">
          <w:rPr>
            <w:rFonts w:ascii="Arial" w:eastAsia="Times New Roman" w:hAnsi="Arial" w:cs="Arial"/>
            <w:color w:val="666699"/>
            <w:sz w:val="24"/>
            <w:szCs w:val="24"/>
            <w:lang w:eastAsia="ru-RU"/>
          </w:rPr>
          <w:t>2 пункта 3 статьи 214.1</w:t>
        </w:r>
      </w:hyperlink>
      <w:r w:rsidRPr="00256E4A">
        <w:rPr>
          <w:rFonts w:ascii="Arial" w:eastAsia="Times New Roman" w:hAnsi="Arial" w:cs="Arial"/>
          <w:color w:val="000000"/>
          <w:sz w:val="24"/>
          <w:szCs w:val="24"/>
          <w:lang w:eastAsia="ru-RU"/>
        </w:rPr>
        <w:t> настоящего Кодекса и находившихся в собственности налогоплательщика более трех лет;</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9543"/>
      <w:bookmarkEnd w:id="1"/>
      <w:r w:rsidRPr="00256E4A">
        <w:rPr>
          <w:rFonts w:ascii="Arial" w:eastAsia="Times New Roman" w:hAnsi="Arial" w:cs="Arial"/>
          <w:color w:val="000000"/>
          <w:sz w:val="24"/>
          <w:szCs w:val="24"/>
          <w:lang w:eastAsia="ru-RU"/>
        </w:rPr>
        <w:t>2) в сумме денежных средств, внесенных налогоплательщиком в налоговом периоде на индивидуальный </w:t>
      </w:r>
      <w:hyperlink r:id="rId11" w:anchor="dst1832" w:history="1">
        <w:r w:rsidRPr="00256E4A">
          <w:rPr>
            <w:rFonts w:ascii="Arial" w:eastAsia="Times New Roman" w:hAnsi="Arial" w:cs="Arial"/>
            <w:color w:val="666699"/>
            <w:sz w:val="24"/>
            <w:szCs w:val="24"/>
            <w:lang w:eastAsia="ru-RU"/>
          </w:rPr>
          <w:t>инвестиционный счет</w:t>
        </w:r>
      </w:hyperlink>
      <w:r w:rsidRPr="00256E4A">
        <w:rPr>
          <w:rFonts w:ascii="Arial" w:eastAsia="Times New Roman" w:hAnsi="Arial" w:cs="Arial"/>
          <w:color w:val="000000"/>
          <w:sz w:val="24"/>
          <w:szCs w:val="24"/>
          <w:lang w:eastAsia="ru-RU"/>
        </w:rPr>
        <w:t>;</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2340"/>
      <w:bookmarkEnd w:id="2"/>
      <w:r w:rsidRPr="00256E4A">
        <w:rPr>
          <w:rFonts w:ascii="Arial" w:eastAsia="Times New Roman" w:hAnsi="Arial" w:cs="Arial"/>
          <w:color w:val="000000"/>
          <w:sz w:val="24"/>
          <w:szCs w:val="24"/>
          <w:lang w:eastAsia="ru-RU"/>
        </w:rPr>
        <w:t>3) в сумме положительного финансового результата, полученного по операциям, учитываемым на индивидуальном инвестиционном счете.</w:t>
      </w:r>
    </w:p>
    <w:p w:rsidR="00256E4A" w:rsidRPr="00256E4A" w:rsidRDefault="00256E4A" w:rsidP="00256E4A">
      <w:pPr>
        <w:shd w:val="clear" w:color="auto" w:fill="FFFFFF"/>
        <w:spacing w:after="0" w:line="266" w:lineRule="atLeast"/>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(в ред. Федерального </w:t>
      </w:r>
      <w:hyperlink r:id="rId12" w:anchor="dst100033" w:history="1">
        <w:r w:rsidRPr="00256E4A">
          <w:rPr>
            <w:rFonts w:ascii="Arial" w:eastAsia="Times New Roman" w:hAnsi="Arial" w:cs="Arial"/>
            <w:color w:val="666699"/>
            <w:sz w:val="24"/>
            <w:szCs w:val="24"/>
            <w:lang w:eastAsia="ru-RU"/>
          </w:rPr>
          <w:t>закона</w:t>
        </w:r>
      </w:hyperlink>
      <w:r w:rsidRPr="00256E4A">
        <w:rPr>
          <w:rFonts w:ascii="Arial" w:eastAsia="Times New Roman" w:hAnsi="Arial" w:cs="Arial"/>
          <w:color w:val="000000"/>
          <w:sz w:val="24"/>
          <w:szCs w:val="24"/>
          <w:lang w:eastAsia="ru-RU"/>
        </w:rPr>
        <w:t> от 28.11.2015 N 327-ФЗ)</w:t>
      </w:r>
    </w:p>
    <w:p w:rsidR="00256E4A" w:rsidRPr="00256E4A" w:rsidRDefault="00256E4A" w:rsidP="00256E4A">
      <w:pPr>
        <w:shd w:val="clear" w:color="auto" w:fill="FFFFFF"/>
        <w:spacing w:after="0" w:line="266" w:lineRule="atLeast"/>
        <w:jc w:val="both"/>
        <w:rPr>
          <w:rFonts w:ascii="Arial" w:eastAsia="Times New Roman" w:hAnsi="Arial" w:cs="Arial"/>
          <w:color w:val="333333"/>
          <w:sz w:val="24"/>
          <w:szCs w:val="24"/>
          <w:lang w:eastAsia="ru-RU"/>
        </w:rPr>
      </w:pPr>
      <w:r w:rsidRPr="00256E4A">
        <w:rPr>
          <w:rFonts w:ascii="Arial" w:eastAsia="Times New Roman" w:hAnsi="Arial" w:cs="Arial"/>
          <w:color w:val="333333"/>
          <w:sz w:val="24"/>
          <w:szCs w:val="24"/>
          <w:lang w:eastAsia="ru-RU"/>
        </w:rPr>
        <w:t>(см. текст в предыдущей редакции)</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9545"/>
      <w:bookmarkEnd w:id="3"/>
      <w:r w:rsidRPr="00256E4A">
        <w:rPr>
          <w:rFonts w:ascii="Arial" w:eastAsia="Times New Roman" w:hAnsi="Arial" w:cs="Arial"/>
          <w:color w:val="000000"/>
          <w:sz w:val="24"/>
          <w:szCs w:val="24"/>
          <w:lang w:eastAsia="ru-RU"/>
        </w:rPr>
        <w:t>2. Инвестиционный налоговый вычет, предусмотренный </w:t>
      </w:r>
      <w:hyperlink r:id="rId13" w:anchor="dst9542" w:history="1">
        <w:r w:rsidRPr="00256E4A">
          <w:rPr>
            <w:rFonts w:ascii="Arial" w:eastAsia="Times New Roman" w:hAnsi="Arial" w:cs="Arial"/>
            <w:color w:val="666699"/>
            <w:sz w:val="24"/>
            <w:szCs w:val="24"/>
            <w:lang w:eastAsia="ru-RU"/>
          </w:rPr>
          <w:t>подпунктом 1 пункта 1</w:t>
        </w:r>
      </w:hyperlink>
      <w:r w:rsidRPr="00256E4A">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2341"/>
      <w:bookmarkEnd w:id="4"/>
      <w:r w:rsidRPr="00256E4A">
        <w:rPr>
          <w:rFonts w:ascii="Arial" w:eastAsia="Times New Roman" w:hAnsi="Arial" w:cs="Arial"/>
          <w:color w:val="000000"/>
          <w:sz w:val="24"/>
          <w:szCs w:val="24"/>
          <w:lang w:eastAsia="ru-RU"/>
        </w:rPr>
        <w:t>1) сумма положительного финансового результата, в размере которого предоставляется налоговый вычет, определяется в соответствии со </w:t>
      </w:r>
      <w:hyperlink r:id="rId14" w:anchor="dst13178" w:history="1">
        <w:r w:rsidRPr="00256E4A">
          <w:rPr>
            <w:rFonts w:ascii="Arial" w:eastAsia="Times New Roman" w:hAnsi="Arial" w:cs="Arial"/>
            <w:color w:val="666699"/>
            <w:sz w:val="24"/>
            <w:szCs w:val="24"/>
            <w:lang w:eastAsia="ru-RU"/>
          </w:rPr>
          <w:t>статьями 214.1</w:t>
        </w:r>
      </w:hyperlink>
      <w:r w:rsidRPr="00256E4A">
        <w:rPr>
          <w:rFonts w:ascii="Arial" w:eastAsia="Times New Roman" w:hAnsi="Arial" w:cs="Arial"/>
          <w:color w:val="000000"/>
          <w:sz w:val="24"/>
          <w:szCs w:val="24"/>
          <w:lang w:eastAsia="ru-RU"/>
        </w:rPr>
        <w:t> и </w:t>
      </w:r>
      <w:hyperlink r:id="rId15" w:anchor="dst12326" w:history="1">
        <w:r w:rsidRPr="00256E4A">
          <w:rPr>
            <w:rFonts w:ascii="Arial" w:eastAsia="Times New Roman" w:hAnsi="Arial" w:cs="Arial"/>
            <w:color w:val="666699"/>
            <w:sz w:val="24"/>
            <w:szCs w:val="24"/>
            <w:lang w:eastAsia="ru-RU"/>
          </w:rPr>
          <w:t>214.9</w:t>
        </w:r>
      </w:hyperlink>
      <w:r w:rsidRPr="00256E4A">
        <w:rPr>
          <w:rFonts w:ascii="Arial" w:eastAsia="Times New Roman" w:hAnsi="Arial" w:cs="Arial"/>
          <w:color w:val="000000"/>
          <w:sz w:val="24"/>
          <w:szCs w:val="24"/>
          <w:lang w:eastAsia="ru-RU"/>
        </w:rPr>
        <w:t> настоящего Кодекса;</w:t>
      </w:r>
    </w:p>
    <w:p w:rsidR="00256E4A" w:rsidRPr="00256E4A" w:rsidRDefault="00256E4A" w:rsidP="00256E4A">
      <w:pPr>
        <w:shd w:val="clear" w:color="auto" w:fill="FFFFFF"/>
        <w:spacing w:after="0" w:line="266" w:lineRule="atLeast"/>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(в ред. Федерального </w:t>
      </w:r>
      <w:hyperlink r:id="rId16" w:anchor="dst100035" w:history="1">
        <w:r w:rsidRPr="00256E4A">
          <w:rPr>
            <w:rFonts w:ascii="Arial" w:eastAsia="Times New Roman" w:hAnsi="Arial" w:cs="Arial"/>
            <w:color w:val="666699"/>
            <w:sz w:val="24"/>
            <w:szCs w:val="24"/>
            <w:lang w:eastAsia="ru-RU"/>
          </w:rPr>
          <w:t>закона</w:t>
        </w:r>
      </w:hyperlink>
      <w:r w:rsidRPr="00256E4A">
        <w:rPr>
          <w:rFonts w:ascii="Arial" w:eastAsia="Times New Roman" w:hAnsi="Arial" w:cs="Arial"/>
          <w:color w:val="000000"/>
          <w:sz w:val="24"/>
          <w:szCs w:val="24"/>
          <w:lang w:eastAsia="ru-RU"/>
        </w:rPr>
        <w:t> от 28.11.2015 N 327-ФЗ)</w:t>
      </w:r>
    </w:p>
    <w:p w:rsidR="00256E4A" w:rsidRPr="00256E4A" w:rsidRDefault="00256E4A" w:rsidP="00256E4A">
      <w:pPr>
        <w:shd w:val="clear" w:color="auto" w:fill="FFFFFF"/>
        <w:spacing w:after="0" w:line="266" w:lineRule="atLeast"/>
        <w:jc w:val="both"/>
        <w:rPr>
          <w:rFonts w:ascii="Arial" w:eastAsia="Times New Roman" w:hAnsi="Arial" w:cs="Arial"/>
          <w:color w:val="333333"/>
          <w:sz w:val="24"/>
          <w:szCs w:val="24"/>
          <w:lang w:eastAsia="ru-RU"/>
        </w:rPr>
      </w:pPr>
      <w:r w:rsidRPr="00256E4A">
        <w:rPr>
          <w:rFonts w:ascii="Arial" w:eastAsia="Times New Roman" w:hAnsi="Arial" w:cs="Arial"/>
          <w:color w:val="333333"/>
          <w:sz w:val="24"/>
          <w:szCs w:val="24"/>
          <w:lang w:eastAsia="ru-RU"/>
        </w:rPr>
        <w:t>(см. текст в предыдущей редакции)</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9547"/>
      <w:bookmarkEnd w:id="5"/>
      <w:r w:rsidRPr="00256E4A">
        <w:rPr>
          <w:rFonts w:ascii="Arial" w:eastAsia="Times New Roman" w:hAnsi="Arial" w:cs="Arial"/>
          <w:color w:val="000000"/>
          <w:sz w:val="24"/>
          <w:szCs w:val="24"/>
          <w:lang w:eastAsia="ru-RU"/>
        </w:rPr>
        <w:t>2) предельный размер налогового вычета в </w:t>
      </w:r>
      <w:hyperlink r:id="rId17" w:anchor="dst101237" w:history="1">
        <w:r w:rsidRPr="00256E4A">
          <w:rPr>
            <w:rFonts w:ascii="Arial" w:eastAsia="Times New Roman" w:hAnsi="Arial" w:cs="Arial"/>
            <w:color w:val="666699"/>
            <w:sz w:val="24"/>
            <w:szCs w:val="24"/>
            <w:lang w:eastAsia="ru-RU"/>
          </w:rPr>
          <w:t>налоговом периоде</w:t>
        </w:r>
      </w:hyperlink>
      <w:r w:rsidRPr="00256E4A">
        <w:rPr>
          <w:rFonts w:ascii="Arial" w:eastAsia="Times New Roman" w:hAnsi="Arial" w:cs="Arial"/>
          <w:color w:val="000000"/>
          <w:sz w:val="24"/>
          <w:szCs w:val="24"/>
          <w:lang w:eastAsia="ru-RU"/>
        </w:rPr>
        <w:t> определяется как произведение коэффициента Кцб и суммы, равной 3 000 000 рублей.</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9548"/>
      <w:bookmarkEnd w:id="6"/>
      <w:r w:rsidRPr="00256E4A">
        <w:rPr>
          <w:rFonts w:ascii="Arial" w:eastAsia="Times New Roman" w:hAnsi="Arial" w:cs="Arial"/>
          <w:color w:val="000000"/>
          <w:sz w:val="24"/>
          <w:szCs w:val="24"/>
          <w:lang w:eastAsia="ru-RU"/>
        </w:rPr>
        <w:t>При этом значение коэффициента Кцб определяется в следующем порядке:</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9549"/>
      <w:bookmarkEnd w:id="7"/>
      <w:r w:rsidRPr="00256E4A">
        <w:rPr>
          <w:rFonts w:ascii="Arial" w:eastAsia="Times New Roman" w:hAnsi="Arial" w:cs="Arial"/>
          <w:color w:val="000000"/>
          <w:sz w:val="24"/>
          <w:szCs w:val="24"/>
          <w:lang w:eastAsia="ru-RU"/>
        </w:rPr>
        <w:t>при реализации (погашении) в налоговом периоде ценных бумаг с одинаковым сроком нахождения в собственности налогоплательщика на момент такой реализации (погашения), исчисляемым в полных годах, - как количество полных лет нахождения в собственности налогоплательщика проданных (погашенных) ценных бумаг (вне зависимости от их количества);</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9550"/>
      <w:bookmarkEnd w:id="8"/>
      <w:r w:rsidRPr="00256E4A">
        <w:rPr>
          <w:rFonts w:ascii="Arial" w:eastAsia="Times New Roman" w:hAnsi="Arial" w:cs="Arial"/>
          <w:color w:val="000000"/>
          <w:sz w:val="24"/>
          <w:szCs w:val="24"/>
          <w:lang w:eastAsia="ru-RU"/>
        </w:rPr>
        <w:t>при реализации (погашении) в налоговом периоде ценных бумаг с различными сроками нахождения в собственности налогоплательщика на момент такой реализации (погашения), исчисляемыми в полных годах, - значение коэффициента К</w:t>
      </w:r>
      <w:r w:rsidRPr="00256E4A">
        <w:rPr>
          <w:rFonts w:ascii="Arial" w:eastAsia="Times New Roman" w:hAnsi="Arial" w:cs="Arial"/>
          <w:color w:val="000000"/>
          <w:sz w:val="16"/>
          <w:szCs w:val="16"/>
          <w:vertAlign w:val="subscript"/>
          <w:lang w:eastAsia="ru-RU"/>
        </w:rPr>
        <w:t>цб</w:t>
      </w:r>
      <w:r w:rsidRPr="00256E4A">
        <w:rPr>
          <w:rFonts w:ascii="Arial" w:eastAsia="Times New Roman" w:hAnsi="Arial" w:cs="Arial"/>
          <w:color w:val="000000"/>
          <w:sz w:val="24"/>
          <w:szCs w:val="24"/>
          <w:lang w:eastAsia="ru-RU"/>
        </w:rPr>
        <w:t> определяется по формуле:</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 </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9551"/>
      <w:bookmarkEnd w:id="9"/>
      <w:r>
        <w:rPr>
          <w:rFonts w:ascii="Arial" w:eastAsia="Times New Roman" w:hAnsi="Arial" w:cs="Arial"/>
          <w:noProof/>
          <w:color w:val="000000"/>
          <w:sz w:val="24"/>
          <w:szCs w:val="24"/>
          <w:lang w:eastAsia="ru-RU"/>
        </w:rPr>
        <mc:AlternateContent>
          <mc:Choice Requires="wps">
            <w:drawing>
              <wp:inline distT="0" distB="0" distL="0" distR="0">
                <wp:extent cx="304800" cy="304800"/>
                <wp:effectExtent l="0" t="0" r="0" b="0"/>
                <wp:docPr id="1" name="Прямоугольник 1" descr="Рисуно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Рисунок 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gi8Z6OkCAADi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256E4A">
        <w:rPr>
          <w:rFonts w:ascii="Arial" w:eastAsia="Times New Roman" w:hAnsi="Arial" w:cs="Arial"/>
          <w:color w:val="000000"/>
          <w:sz w:val="24"/>
          <w:szCs w:val="24"/>
          <w:lang w:eastAsia="ru-RU"/>
        </w:rPr>
        <w:t> ,</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 </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9552"/>
      <w:bookmarkEnd w:id="10"/>
      <w:r w:rsidRPr="00256E4A">
        <w:rPr>
          <w:rFonts w:ascii="Arial" w:eastAsia="Times New Roman" w:hAnsi="Arial" w:cs="Arial"/>
          <w:color w:val="000000"/>
          <w:sz w:val="24"/>
          <w:szCs w:val="24"/>
          <w:lang w:eastAsia="ru-RU"/>
        </w:rPr>
        <w:t>где V</w:t>
      </w:r>
      <w:r w:rsidRPr="00256E4A">
        <w:rPr>
          <w:rFonts w:ascii="Arial" w:eastAsia="Times New Roman" w:hAnsi="Arial" w:cs="Arial"/>
          <w:color w:val="000000"/>
          <w:sz w:val="16"/>
          <w:szCs w:val="16"/>
          <w:vertAlign w:val="subscript"/>
          <w:lang w:eastAsia="ru-RU"/>
        </w:rPr>
        <w:t>i</w:t>
      </w:r>
      <w:r w:rsidRPr="00256E4A">
        <w:rPr>
          <w:rFonts w:ascii="Arial" w:eastAsia="Times New Roman" w:hAnsi="Arial" w:cs="Arial"/>
          <w:color w:val="000000"/>
          <w:sz w:val="24"/>
          <w:szCs w:val="24"/>
          <w:lang w:eastAsia="ru-RU"/>
        </w:rPr>
        <w:t> - доходы от реализации (погашения) в налоговом периоде всех ценных бумаг со сроком нахождения в собственности налогоплательщика, исчисляемым в полных годах и составляющим i лет. При определении V</w:t>
      </w:r>
      <w:r w:rsidRPr="00256E4A">
        <w:rPr>
          <w:rFonts w:ascii="Arial" w:eastAsia="Times New Roman" w:hAnsi="Arial" w:cs="Arial"/>
          <w:color w:val="000000"/>
          <w:sz w:val="16"/>
          <w:szCs w:val="16"/>
          <w:vertAlign w:val="subscript"/>
          <w:lang w:eastAsia="ru-RU"/>
        </w:rPr>
        <w:t>i</w:t>
      </w:r>
      <w:r w:rsidRPr="00256E4A">
        <w:rPr>
          <w:rFonts w:ascii="Arial" w:eastAsia="Times New Roman" w:hAnsi="Arial" w:cs="Arial"/>
          <w:color w:val="000000"/>
          <w:sz w:val="24"/>
          <w:szCs w:val="24"/>
          <w:lang w:eastAsia="ru-RU"/>
        </w:rPr>
        <w:t> учитываются доходы от реализации (погашения) ценных бумаг при условии, что при реализации (погашении) ценной бумаги разница между доходами от ее реализации (погашения) и стоимостью ее приобретения составляет положительную величину;</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9553"/>
      <w:bookmarkEnd w:id="11"/>
      <w:r w:rsidRPr="00256E4A">
        <w:rPr>
          <w:rFonts w:ascii="Arial" w:eastAsia="Times New Roman" w:hAnsi="Arial" w:cs="Arial"/>
          <w:color w:val="000000"/>
          <w:sz w:val="24"/>
          <w:szCs w:val="24"/>
          <w:lang w:eastAsia="ru-RU"/>
        </w:rPr>
        <w:t xml:space="preserve">n - количество исчисляемых в полных годах сроков нахождения в собственности налогоплательщика ценных бумаг, реализуемых (погашаемых) в налоговом периоде, по итогам которого налогоплательщику предоставляется </w:t>
      </w:r>
      <w:r w:rsidRPr="00256E4A">
        <w:rPr>
          <w:rFonts w:ascii="Arial" w:eastAsia="Times New Roman" w:hAnsi="Arial" w:cs="Arial"/>
          <w:color w:val="000000"/>
          <w:sz w:val="24"/>
          <w:szCs w:val="24"/>
          <w:lang w:eastAsia="ru-RU"/>
        </w:rPr>
        <w:lastRenderedPageBreak/>
        <w:t>право на получение налогового вычета. При этом в случае, если сроки нахождения в собственности налогоплательщика двух и более ценных бумаг, реализуемых (погашаемых) в налоговом периоде, исчисляемые в полных годах, совпадают, в целях определения показателя n количество таких сроков принимается равным 1;</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2342"/>
      <w:bookmarkEnd w:id="12"/>
      <w:r w:rsidRPr="00256E4A">
        <w:rPr>
          <w:rFonts w:ascii="Arial" w:eastAsia="Times New Roman" w:hAnsi="Arial" w:cs="Arial"/>
          <w:color w:val="000000"/>
          <w:sz w:val="24"/>
          <w:szCs w:val="24"/>
          <w:lang w:eastAsia="ru-RU"/>
        </w:rPr>
        <w:t>3) срок нахождения ценной бумаги в собственности налогоплательщика исчисляется исходя из метода реализации (погашения) ценных бумаг, приобретенных первыми по времени (ФИФО). При этом:</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2343"/>
      <w:bookmarkEnd w:id="13"/>
      <w:r w:rsidRPr="00256E4A">
        <w:rPr>
          <w:rFonts w:ascii="Arial" w:eastAsia="Times New Roman" w:hAnsi="Arial" w:cs="Arial"/>
          <w:color w:val="000000"/>
          <w:sz w:val="24"/>
          <w:szCs w:val="24"/>
          <w:lang w:eastAsia="ru-RU"/>
        </w:rPr>
        <w:t>срок нахождения ценных бумаг в собственности налогоплательщика включает в себя срок, в течение которого ценные бумаги выбыли из собственности налогоплательщика по договору займа ценными бумагами с брокером и (или) по договору репо;</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2344"/>
      <w:bookmarkEnd w:id="14"/>
      <w:r w:rsidRPr="00256E4A">
        <w:rPr>
          <w:rFonts w:ascii="Arial" w:eastAsia="Times New Roman" w:hAnsi="Arial" w:cs="Arial"/>
          <w:color w:val="000000"/>
          <w:sz w:val="24"/>
          <w:szCs w:val="24"/>
          <w:lang w:eastAsia="ru-RU"/>
        </w:rPr>
        <w:t>к реализации (погашению) ценных бумаг не относятся операции обмена инвестиционных паев паевых инвестиционных фондов, осуществляемые в соответствии с Федеральным </w:t>
      </w:r>
      <w:hyperlink r:id="rId18" w:anchor="dst100708" w:history="1">
        <w:r w:rsidRPr="00256E4A">
          <w:rPr>
            <w:rFonts w:ascii="Arial" w:eastAsia="Times New Roman" w:hAnsi="Arial" w:cs="Arial"/>
            <w:color w:val="666699"/>
            <w:sz w:val="24"/>
            <w:szCs w:val="24"/>
            <w:lang w:eastAsia="ru-RU"/>
          </w:rPr>
          <w:t>законом</w:t>
        </w:r>
      </w:hyperlink>
      <w:r w:rsidRPr="00256E4A">
        <w:rPr>
          <w:rFonts w:ascii="Arial" w:eastAsia="Times New Roman" w:hAnsi="Arial" w:cs="Arial"/>
          <w:color w:val="000000"/>
          <w:sz w:val="24"/>
          <w:szCs w:val="24"/>
          <w:lang w:eastAsia="ru-RU"/>
        </w:rPr>
        <w:t> от 29 ноября 2001 года N 156-ФЗ "Об инвестиционных фондах". Сроком нахождения инвестиционных паев в собственности налогоплательщика в этом случае признается срок, исчисляемый с даты приобретения инвестиционных паев до даты погашения инвестиционных паев, полученных в результате такого обмена (обменов);</w:t>
      </w:r>
    </w:p>
    <w:p w:rsidR="00256E4A" w:rsidRPr="00256E4A" w:rsidRDefault="00256E4A" w:rsidP="00256E4A">
      <w:pPr>
        <w:shd w:val="clear" w:color="auto" w:fill="FFFFFF"/>
        <w:spacing w:after="0" w:line="266" w:lineRule="atLeast"/>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(пп. 3 в ред. Федерального </w:t>
      </w:r>
      <w:hyperlink r:id="rId19" w:anchor="dst100036" w:history="1">
        <w:r w:rsidRPr="00256E4A">
          <w:rPr>
            <w:rFonts w:ascii="Arial" w:eastAsia="Times New Roman" w:hAnsi="Arial" w:cs="Arial"/>
            <w:color w:val="666699"/>
            <w:sz w:val="24"/>
            <w:szCs w:val="24"/>
            <w:lang w:eastAsia="ru-RU"/>
          </w:rPr>
          <w:t>закона</w:t>
        </w:r>
      </w:hyperlink>
      <w:r w:rsidRPr="00256E4A">
        <w:rPr>
          <w:rFonts w:ascii="Arial" w:eastAsia="Times New Roman" w:hAnsi="Arial" w:cs="Arial"/>
          <w:color w:val="000000"/>
          <w:sz w:val="24"/>
          <w:szCs w:val="24"/>
          <w:lang w:eastAsia="ru-RU"/>
        </w:rPr>
        <w:t> от 28.11.2015 N 327-ФЗ)</w:t>
      </w:r>
    </w:p>
    <w:p w:rsidR="00256E4A" w:rsidRPr="00256E4A" w:rsidRDefault="00256E4A" w:rsidP="00256E4A">
      <w:pPr>
        <w:shd w:val="clear" w:color="auto" w:fill="FFFFFF"/>
        <w:spacing w:after="0" w:line="266" w:lineRule="atLeast"/>
        <w:jc w:val="both"/>
        <w:rPr>
          <w:rFonts w:ascii="Arial" w:eastAsia="Times New Roman" w:hAnsi="Arial" w:cs="Arial"/>
          <w:color w:val="333333"/>
          <w:sz w:val="24"/>
          <w:szCs w:val="24"/>
          <w:lang w:eastAsia="ru-RU"/>
        </w:rPr>
      </w:pPr>
      <w:r w:rsidRPr="00256E4A">
        <w:rPr>
          <w:rFonts w:ascii="Arial" w:eastAsia="Times New Roman" w:hAnsi="Arial" w:cs="Arial"/>
          <w:color w:val="333333"/>
          <w:sz w:val="24"/>
          <w:szCs w:val="24"/>
          <w:lang w:eastAsia="ru-RU"/>
        </w:rPr>
        <w:t>(см. текст в предыдущей редакции)</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9555"/>
      <w:bookmarkEnd w:id="15"/>
      <w:r w:rsidRPr="00256E4A">
        <w:rPr>
          <w:rFonts w:ascii="Arial" w:eastAsia="Times New Roman" w:hAnsi="Arial" w:cs="Arial"/>
          <w:color w:val="000000"/>
          <w:sz w:val="24"/>
          <w:szCs w:val="24"/>
          <w:lang w:eastAsia="ru-RU"/>
        </w:rPr>
        <w:t>4) налоговый вычет предоставляется налогоплательщику при исчислении и удержании налога налоговым агентом или при представлении налоговой декларации. При этом при предоставлении налогового вычета налоговым агентом:</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9556"/>
      <w:bookmarkEnd w:id="16"/>
      <w:r w:rsidRPr="00256E4A">
        <w:rPr>
          <w:rFonts w:ascii="Arial" w:eastAsia="Times New Roman" w:hAnsi="Arial" w:cs="Arial"/>
          <w:color w:val="000000"/>
          <w:sz w:val="24"/>
          <w:szCs w:val="24"/>
          <w:lang w:eastAsia="ru-RU"/>
        </w:rPr>
        <w:t>определяется коэффициент К</w:t>
      </w:r>
      <w:r w:rsidRPr="00256E4A">
        <w:rPr>
          <w:rFonts w:ascii="Arial" w:eastAsia="Times New Roman" w:hAnsi="Arial" w:cs="Arial"/>
          <w:color w:val="000000"/>
          <w:sz w:val="16"/>
          <w:szCs w:val="16"/>
          <w:vertAlign w:val="subscript"/>
          <w:lang w:eastAsia="ru-RU"/>
        </w:rPr>
        <w:t>цб</w:t>
      </w:r>
      <w:r w:rsidRPr="00256E4A">
        <w:rPr>
          <w:rFonts w:ascii="Arial" w:eastAsia="Times New Roman" w:hAnsi="Arial" w:cs="Arial"/>
          <w:color w:val="000000"/>
          <w:sz w:val="24"/>
          <w:szCs w:val="24"/>
          <w:lang w:eastAsia="ru-RU"/>
        </w:rPr>
        <w:t> в целях </w:t>
      </w:r>
      <w:hyperlink r:id="rId20" w:anchor="dst9547" w:history="1">
        <w:r w:rsidRPr="00256E4A">
          <w:rPr>
            <w:rFonts w:ascii="Arial" w:eastAsia="Times New Roman" w:hAnsi="Arial" w:cs="Arial"/>
            <w:color w:val="666699"/>
            <w:sz w:val="24"/>
            <w:szCs w:val="24"/>
            <w:lang w:eastAsia="ru-RU"/>
          </w:rPr>
          <w:t>подпункта 2</w:t>
        </w:r>
      </w:hyperlink>
      <w:r w:rsidRPr="00256E4A">
        <w:rPr>
          <w:rFonts w:ascii="Arial" w:eastAsia="Times New Roman" w:hAnsi="Arial" w:cs="Arial"/>
          <w:color w:val="000000"/>
          <w:sz w:val="24"/>
          <w:szCs w:val="24"/>
          <w:lang w:eastAsia="ru-RU"/>
        </w:rPr>
        <w:t> настоящего пункта применительно к реализуемым (погашаемым) ценным бумагам, выплату дохода по которым осуществляет этот налоговый агент;</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9557"/>
      <w:bookmarkEnd w:id="17"/>
      <w:r w:rsidRPr="00256E4A">
        <w:rPr>
          <w:rFonts w:ascii="Arial" w:eastAsia="Times New Roman" w:hAnsi="Arial" w:cs="Arial"/>
          <w:color w:val="000000"/>
          <w:sz w:val="24"/>
          <w:szCs w:val="24"/>
          <w:lang w:eastAsia="ru-RU"/>
        </w:rPr>
        <w:t>налогоплательщику представляется соответствующий расчет о величине предоставленного ему вычета;</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9558"/>
      <w:bookmarkEnd w:id="18"/>
      <w:r w:rsidRPr="00256E4A">
        <w:rPr>
          <w:rFonts w:ascii="Arial" w:eastAsia="Times New Roman" w:hAnsi="Arial" w:cs="Arial"/>
          <w:color w:val="000000"/>
          <w:sz w:val="24"/>
          <w:szCs w:val="24"/>
          <w:lang w:eastAsia="ru-RU"/>
        </w:rPr>
        <w:t>5) в случае, если при предоставлении налогового вычета несколькими налоговыми агентами его совокупная величина превысила предельный размер, рассчитываемый в соответствии с </w:t>
      </w:r>
      <w:hyperlink r:id="rId21" w:anchor="dst9547" w:history="1">
        <w:r w:rsidRPr="00256E4A">
          <w:rPr>
            <w:rFonts w:ascii="Arial" w:eastAsia="Times New Roman" w:hAnsi="Arial" w:cs="Arial"/>
            <w:color w:val="666699"/>
            <w:sz w:val="24"/>
            <w:szCs w:val="24"/>
            <w:lang w:eastAsia="ru-RU"/>
          </w:rPr>
          <w:t>подпунктом 2</w:t>
        </w:r>
      </w:hyperlink>
      <w:r w:rsidRPr="00256E4A">
        <w:rPr>
          <w:rFonts w:ascii="Arial" w:eastAsia="Times New Roman" w:hAnsi="Arial" w:cs="Arial"/>
          <w:color w:val="000000"/>
          <w:sz w:val="24"/>
          <w:szCs w:val="24"/>
          <w:lang w:eastAsia="ru-RU"/>
        </w:rPr>
        <w:t> настоящего пункта, налогоплательщик обязан представить налоговую декларацию и доплатить соответствующую сумму налога;</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9559"/>
      <w:bookmarkEnd w:id="19"/>
      <w:r w:rsidRPr="00256E4A">
        <w:rPr>
          <w:rFonts w:ascii="Arial" w:eastAsia="Times New Roman" w:hAnsi="Arial" w:cs="Arial"/>
          <w:color w:val="000000"/>
          <w:sz w:val="24"/>
          <w:szCs w:val="24"/>
          <w:lang w:eastAsia="ru-RU"/>
        </w:rPr>
        <w:t>6) налоговый вычет не применяется при реализации (погашении) ценных бумаг, учитываемых на индивидуальном инвестиционном счете.</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9560"/>
      <w:bookmarkEnd w:id="20"/>
      <w:r w:rsidRPr="00256E4A">
        <w:rPr>
          <w:rFonts w:ascii="Arial" w:eastAsia="Times New Roman" w:hAnsi="Arial" w:cs="Arial"/>
          <w:color w:val="000000"/>
          <w:sz w:val="24"/>
          <w:szCs w:val="24"/>
          <w:lang w:eastAsia="ru-RU"/>
        </w:rPr>
        <w:t>3. Инвестиционный налоговый вычет, предусмотренный </w:t>
      </w:r>
      <w:hyperlink r:id="rId22" w:anchor="dst9543" w:history="1">
        <w:r w:rsidRPr="00256E4A">
          <w:rPr>
            <w:rFonts w:ascii="Arial" w:eastAsia="Times New Roman" w:hAnsi="Arial" w:cs="Arial"/>
            <w:color w:val="666699"/>
            <w:sz w:val="24"/>
            <w:szCs w:val="24"/>
            <w:lang w:eastAsia="ru-RU"/>
          </w:rPr>
          <w:t>подпунктом 2 пункта 1</w:t>
        </w:r>
      </w:hyperlink>
      <w:r w:rsidRPr="00256E4A">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9561"/>
      <w:bookmarkEnd w:id="21"/>
      <w:r w:rsidRPr="00256E4A">
        <w:rPr>
          <w:rFonts w:ascii="Arial" w:eastAsia="Times New Roman" w:hAnsi="Arial" w:cs="Arial"/>
          <w:color w:val="000000"/>
          <w:sz w:val="24"/>
          <w:szCs w:val="24"/>
          <w:lang w:eastAsia="ru-RU"/>
        </w:rPr>
        <w:t>1) налоговый вычет предоставляется в сумме денежных средств, внесенных в налоговом периоде на индивидуальный инвестиционный счет, но не более 400 000 рублей;</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9562"/>
      <w:bookmarkEnd w:id="22"/>
      <w:r w:rsidRPr="00256E4A">
        <w:rPr>
          <w:rFonts w:ascii="Arial" w:eastAsia="Times New Roman" w:hAnsi="Arial" w:cs="Arial"/>
          <w:color w:val="000000"/>
          <w:sz w:val="24"/>
          <w:szCs w:val="24"/>
          <w:lang w:eastAsia="ru-RU"/>
        </w:rPr>
        <w:t>2) налоговый вычет предоставляется налогоплательщику при представлении налоговой </w:t>
      </w:r>
      <w:hyperlink r:id="rId23" w:anchor="dst100023" w:history="1">
        <w:r w:rsidRPr="00256E4A">
          <w:rPr>
            <w:rFonts w:ascii="Arial" w:eastAsia="Times New Roman" w:hAnsi="Arial" w:cs="Arial"/>
            <w:color w:val="666699"/>
            <w:sz w:val="24"/>
            <w:szCs w:val="24"/>
            <w:lang w:eastAsia="ru-RU"/>
          </w:rPr>
          <w:t>декларации</w:t>
        </w:r>
      </w:hyperlink>
      <w:r w:rsidRPr="00256E4A">
        <w:rPr>
          <w:rFonts w:ascii="Arial" w:eastAsia="Times New Roman" w:hAnsi="Arial" w:cs="Arial"/>
          <w:color w:val="000000"/>
          <w:sz w:val="24"/>
          <w:szCs w:val="24"/>
          <w:lang w:eastAsia="ru-RU"/>
        </w:rPr>
        <w:t> на основании документов, подтверждающих факт зачисления денежных средств на индивидуальный инвестиционный счет;</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9563"/>
      <w:bookmarkEnd w:id="23"/>
      <w:r w:rsidRPr="00256E4A">
        <w:rPr>
          <w:rFonts w:ascii="Arial" w:eastAsia="Times New Roman" w:hAnsi="Arial" w:cs="Arial"/>
          <w:color w:val="000000"/>
          <w:sz w:val="24"/>
          <w:szCs w:val="24"/>
          <w:lang w:eastAsia="ru-RU"/>
        </w:rPr>
        <w:t xml:space="preserve">3) налоговый вычет предоставляется налогоплательщику при условии, что 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w:t>
      </w:r>
      <w:r w:rsidRPr="00256E4A">
        <w:rPr>
          <w:rFonts w:ascii="Arial" w:eastAsia="Times New Roman" w:hAnsi="Arial" w:cs="Arial"/>
          <w:color w:val="000000"/>
          <w:sz w:val="24"/>
          <w:szCs w:val="24"/>
          <w:lang w:eastAsia="ru-RU"/>
        </w:rPr>
        <w:lastRenderedPageBreak/>
        <w:t>счете, на другой индивидуальный инвестиционный счет, открытый тому же физическому лицу;</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9564"/>
      <w:bookmarkEnd w:id="24"/>
      <w:r w:rsidRPr="00256E4A">
        <w:rPr>
          <w:rFonts w:ascii="Arial" w:eastAsia="Times New Roman" w:hAnsi="Arial" w:cs="Arial"/>
          <w:color w:val="000000"/>
          <w:sz w:val="24"/>
          <w:szCs w:val="24"/>
          <w:lang w:eastAsia="ru-RU"/>
        </w:rPr>
        <w:t>4) в случае прекращения договора на ведение индивидуального инвестиционного счета до истечения сроков, указанных в </w:t>
      </w:r>
      <w:hyperlink r:id="rId24" w:anchor="dst9566" w:history="1">
        <w:r w:rsidRPr="00256E4A">
          <w:rPr>
            <w:rFonts w:ascii="Arial" w:eastAsia="Times New Roman" w:hAnsi="Arial" w:cs="Arial"/>
            <w:color w:val="666699"/>
            <w:sz w:val="24"/>
            <w:szCs w:val="24"/>
            <w:lang w:eastAsia="ru-RU"/>
          </w:rPr>
          <w:t>подпункте 1 пункта 4</w:t>
        </w:r>
      </w:hyperlink>
      <w:r w:rsidRPr="00256E4A">
        <w:rPr>
          <w:rFonts w:ascii="Arial" w:eastAsia="Times New Roman" w:hAnsi="Arial" w:cs="Arial"/>
          <w:color w:val="000000"/>
          <w:sz w:val="24"/>
          <w:szCs w:val="24"/>
          <w:lang w:eastAsia="ru-RU"/>
        </w:rPr>
        <w:t> настоящей статьи (за исключением случая расторжения договора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налогоплательщиком в бюджет в связи с применением в отношении денежных средств, внесенных на указанный индивидуальный инвестиционный счет, налоговых вычетов, предусмотренных </w:t>
      </w:r>
      <w:hyperlink r:id="rId25" w:anchor="dst9543" w:history="1">
        <w:r w:rsidRPr="00256E4A">
          <w:rPr>
            <w:rFonts w:ascii="Arial" w:eastAsia="Times New Roman" w:hAnsi="Arial" w:cs="Arial"/>
            <w:color w:val="666699"/>
            <w:sz w:val="24"/>
            <w:szCs w:val="24"/>
            <w:lang w:eastAsia="ru-RU"/>
          </w:rPr>
          <w:t>подпунктом 2 пункта 1</w:t>
        </w:r>
      </w:hyperlink>
      <w:r w:rsidRPr="00256E4A">
        <w:rPr>
          <w:rFonts w:ascii="Arial" w:eastAsia="Times New Roman" w:hAnsi="Arial" w:cs="Arial"/>
          <w:color w:val="000000"/>
          <w:sz w:val="24"/>
          <w:szCs w:val="24"/>
          <w:lang w:eastAsia="ru-RU"/>
        </w:rPr>
        <w:t> настоящей статьи, подлежит восстановлению и уплате в бюджет в установленном порядке с взысканием с налогоплательщика соответствующих сумм </w:t>
      </w:r>
      <w:hyperlink r:id="rId26" w:anchor="dst100736" w:history="1">
        <w:r w:rsidRPr="00256E4A">
          <w:rPr>
            <w:rFonts w:ascii="Arial" w:eastAsia="Times New Roman" w:hAnsi="Arial" w:cs="Arial"/>
            <w:color w:val="666699"/>
            <w:sz w:val="24"/>
            <w:szCs w:val="24"/>
            <w:lang w:eastAsia="ru-RU"/>
          </w:rPr>
          <w:t>пеней</w:t>
        </w:r>
      </w:hyperlink>
      <w:r w:rsidRPr="00256E4A">
        <w:rPr>
          <w:rFonts w:ascii="Arial" w:eastAsia="Times New Roman" w:hAnsi="Arial" w:cs="Arial"/>
          <w:color w:val="000000"/>
          <w:sz w:val="24"/>
          <w:szCs w:val="24"/>
          <w:lang w:eastAsia="ru-RU"/>
        </w:rPr>
        <w:t>.</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9565"/>
      <w:bookmarkEnd w:id="25"/>
      <w:r w:rsidRPr="00256E4A">
        <w:rPr>
          <w:rFonts w:ascii="Arial" w:eastAsia="Times New Roman" w:hAnsi="Arial" w:cs="Arial"/>
          <w:color w:val="000000"/>
          <w:sz w:val="24"/>
          <w:szCs w:val="24"/>
          <w:lang w:eastAsia="ru-RU"/>
        </w:rPr>
        <w:t>4. Инвестиционный налоговый вычет, предусмотренный </w:t>
      </w:r>
      <w:hyperlink r:id="rId27" w:anchor="dst12340" w:history="1">
        <w:r w:rsidRPr="00256E4A">
          <w:rPr>
            <w:rFonts w:ascii="Arial" w:eastAsia="Times New Roman" w:hAnsi="Arial" w:cs="Arial"/>
            <w:color w:val="666699"/>
            <w:sz w:val="24"/>
            <w:szCs w:val="24"/>
            <w:lang w:eastAsia="ru-RU"/>
          </w:rPr>
          <w:t>подпунктом 3 пункта 1</w:t>
        </w:r>
      </w:hyperlink>
      <w:r w:rsidRPr="00256E4A">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9566"/>
      <w:bookmarkEnd w:id="26"/>
      <w:r w:rsidRPr="00256E4A">
        <w:rPr>
          <w:rFonts w:ascii="Arial" w:eastAsia="Times New Roman" w:hAnsi="Arial" w:cs="Arial"/>
          <w:color w:val="000000"/>
          <w:sz w:val="24"/>
          <w:szCs w:val="24"/>
          <w:lang w:eastAsia="ru-RU"/>
        </w:rPr>
        <w:t>1) налоговый вычет предоставляется по окончании договора на ведение индивидуального инвестиционного счета при условии истечения не менее трех лет с даты заключения налогоплательщиком договора на ведение индивидуального инвестиционного счета;</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9567"/>
      <w:bookmarkEnd w:id="27"/>
      <w:r w:rsidRPr="00256E4A">
        <w:rPr>
          <w:rFonts w:ascii="Arial" w:eastAsia="Times New Roman" w:hAnsi="Arial" w:cs="Arial"/>
          <w:color w:val="000000"/>
          <w:sz w:val="24"/>
          <w:szCs w:val="24"/>
          <w:lang w:eastAsia="ru-RU"/>
        </w:rPr>
        <w:t>2) налогоплательщик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28" w:anchor="dst9543" w:history="1">
        <w:r w:rsidRPr="00256E4A">
          <w:rPr>
            <w:rFonts w:ascii="Arial" w:eastAsia="Times New Roman" w:hAnsi="Arial" w:cs="Arial"/>
            <w:color w:val="666699"/>
            <w:sz w:val="24"/>
            <w:szCs w:val="24"/>
            <w:lang w:eastAsia="ru-RU"/>
          </w:rPr>
          <w:t>подпунктом 2 пункта 1</w:t>
        </w:r>
      </w:hyperlink>
      <w:r w:rsidRPr="00256E4A">
        <w:rPr>
          <w:rFonts w:ascii="Arial" w:eastAsia="Times New Roman" w:hAnsi="Arial" w:cs="Arial"/>
          <w:color w:val="000000"/>
          <w:sz w:val="24"/>
          <w:szCs w:val="24"/>
          <w:lang w:eastAsia="ru-RU"/>
        </w:rPr>
        <w:t> настоящей статьи;</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9568"/>
      <w:bookmarkEnd w:id="28"/>
      <w:r w:rsidRPr="00256E4A">
        <w:rPr>
          <w:rFonts w:ascii="Arial" w:eastAsia="Times New Roman" w:hAnsi="Arial" w:cs="Arial"/>
          <w:color w:val="000000"/>
          <w:sz w:val="24"/>
          <w:szCs w:val="24"/>
          <w:lang w:eastAsia="ru-RU"/>
        </w:rPr>
        <w:t>3) налоговый вычет предоставляется налогоплательщику налоговым органом при представлении налогоплательщиком налоговой декларации либо при исчислении и удержании налога налоговым агентом при условии представления справки налогового органа о том, что:</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9569"/>
      <w:bookmarkEnd w:id="29"/>
      <w:r w:rsidRPr="00256E4A">
        <w:rPr>
          <w:rFonts w:ascii="Arial" w:eastAsia="Times New Roman" w:hAnsi="Arial" w:cs="Arial"/>
          <w:color w:val="000000"/>
          <w:sz w:val="24"/>
          <w:szCs w:val="24"/>
          <w:lang w:eastAsia="ru-RU"/>
        </w:rPr>
        <w:t>налогоплательщик не воспользовался правом на получение налогового вычета, предусмотренного </w:t>
      </w:r>
      <w:hyperlink r:id="rId29" w:anchor="dst9543" w:history="1">
        <w:r w:rsidRPr="00256E4A">
          <w:rPr>
            <w:rFonts w:ascii="Arial" w:eastAsia="Times New Roman" w:hAnsi="Arial" w:cs="Arial"/>
            <w:color w:val="666699"/>
            <w:sz w:val="24"/>
            <w:szCs w:val="24"/>
            <w:lang w:eastAsia="ru-RU"/>
          </w:rPr>
          <w:t>подпунктом 2 пункта 1</w:t>
        </w:r>
      </w:hyperlink>
      <w:r w:rsidRPr="00256E4A">
        <w:rPr>
          <w:rFonts w:ascii="Arial" w:eastAsia="Times New Roman" w:hAnsi="Arial" w:cs="Arial"/>
          <w:color w:val="000000"/>
          <w:sz w:val="24"/>
          <w:szCs w:val="24"/>
          <w:lang w:eastAsia="ru-RU"/>
        </w:rPr>
        <w:t> настоящей статьи,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предусмотренном </w:t>
      </w:r>
      <w:hyperlink r:id="rId30" w:anchor="dst12359" w:history="1">
        <w:r w:rsidRPr="00256E4A">
          <w:rPr>
            <w:rFonts w:ascii="Arial" w:eastAsia="Times New Roman" w:hAnsi="Arial" w:cs="Arial"/>
            <w:color w:val="666699"/>
            <w:sz w:val="24"/>
            <w:szCs w:val="24"/>
            <w:lang w:eastAsia="ru-RU"/>
          </w:rPr>
          <w:t>пунктом 9.1 статьи 226.1</w:t>
        </w:r>
      </w:hyperlink>
      <w:r w:rsidRPr="00256E4A">
        <w:rPr>
          <w:rFonts w:ascii="Arial" w:eastAsia="Times New Roman" w:hAnsi="Arial" w:cs="Arial"/>
          <w:color w:val="000000"/>
          <w:sz w:val="24"/>
          <w:szCs w:val="24"/>
          <w:lang w:eastAsia="ru-RU"/>
        </w:rPr>
        <w:t> настоящего Кодекса;</w:t>
      </w:r>
    </w:p>
    <w:p w:rsidR="00256E4A" w:rsidRPr="00256E4A" w:rsidRDefault="00256E4A" w:rsidP="00256E4A">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9570"/>
      <w:bookmarkEnd w:id="30"/>
      <w:r w:rsidRPr="00256E4A">
        <w:rPr>
          <w:rFonts w:ascii="Arial" w:eastAsia="Times New Roman" w:hAnsi="Arial" w:cs="Arial"/>
          <w:color w:val="000000"/>
          <w:sz w:val="24"/>
          <w:szCs w:val="24"/>
          <w:lang w:eastAsia="ru-RU"/>
        </w:rPr>
        <w:t>в течение срока действия договора на ведение индивидуального инвестиционного счета налогоплательщик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256E4A" w:rsidRPr="00256E4A" w:rsidRDefault="00256E4A" w:rsidP="00256E4A">
      <w:pPr>
        <w:shd w:val="clear" w:color="auto" w:fill="FFFFFF"/>
        <w:spacing w:after="0" w:line="290" w:lineRule="atLeast"/>
        <w:jc w:val="both"/>
        <w:rPr>
          <w:rFonts w:ascii="Arial" w:eastAsia="Times New Roman" w:hAnsi="Arial" w:cs="Arial"/>
          <w:color w:val="000000"/>
          <w:sz w:val="24"/>
          <w:szCs w:val="24"/>
          <w:lang w:eastAsia="ru-RU"/>
        </w:rPr>
      </w:pPr>
      <w:r w:rsidRPr="00256E4A">
        <w:rPr>
          <w:rFonts w:ascii="Arial" w:eastAsia="Times New Roman" w:hAnsi="Arial" w:cs="Arial"/>
          <w:color w:val="000000"/>
          <w:sz w:val="24"/>
          <w:szCs w:val="24"/>
          <w:lang w:eastAsia="ru-RU"/>
        </w:rPr>
        <w:t> </w:t>
      </w:r>
    </w:p>
    <w:p w:rsidR="00B77CE4" w:rsidRDefault="00B77CE4">
      <w:bookmarkStart w:id="31" w:name="_GoBack"/>
      <w:bookmarkEnd w:id="31"/>
    </w:p>
    <w:sectPr w:rsidR="00B77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0A"/>
    <w:rsid w:val="00256E4A"/>
    <w:rsid w:val="00B2160A"/>
    <w:rsid w:val="00B7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56E4A"/>
  </w:style>
  <w:style w:type="character" w:styleId="a3">
    <w:name w:val="Hyperlink"/>
    <w:basedOn w:val="a0"/>
    <w:uiPriority w:val="99"/>
    <w:semiHidden/>
    <w:unhideWhenUsed/>
    <w:rsid w:val="00256E4A"/>
    <w:rPr>
      <w:color w:val="0000FF"/>
      <w:u w:val="single"/>
    </w:rPr>
  </w:style>
  <w:style w:type="character" w:customStyle="1" w:styleId="sub">
    <w:name w:val="sub"/>
    <w:basedOn w:val="a0"/>
    <w:rsid w:val="00256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56E4A"/>
  </w:style>
  <w:style w:type="character" w:styleId="a3">
    <w:name w:val="Hyperlink"/>
    <w:basedOn w:val="a0"/>
    <w:uiPriority w:val="99"/>
    <w:semiHidden/>
    <w:unhideWhenUsed/>
    <w:rsid w:val="00256E4A"/>
    <w:rPr>
      <w:color w:val="0000FF"/>
      <w:u w:val="single"/>
    </w:rPr>
  </w:style>
  <w:style w:type="character" w:customStyle="1" w:styleId="sub">
    <w:name w:val="sub"/>
    <w:basedOn w:val="a0"/>
    <w:rsid w:val="0025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3816">
      <w:bodyDiv w:val="1"/>
      <w:marLeft w:val="0"/>
      <w:marRight w:val="0"/>
      <w:marTop w:val="0"/>
      <w:marBottom w:val="0"/>
      <w:divBdr>
        <w:top w:val="none" w:sz="0" w:space="0" w:color="auto"/>
        <w:left w:val="none" w:sz="0" w:space="0" w:color="auto"/>
        <w:bottom w:val="none" w:sz="0" w:space="0" w:color="auto"/>
        <w:right w:val="none" w:sz="0" w:space="0" w:color="auto"/>
      </w:divBdr>
      <w:divsChild>
        <w:div w:id="220406085">
          <w:marLeft w:val="0"/>
          <w:marRight w:val="0"/>
          <w:marTop w:val="120"/>
          <w:marBottom w:val="0"/>
          <w:divBdr>
            <w:top w:val="none" w:sz="0" w:space="0" w:color="auto"/>
            <w:left w:val="none" w:sz="0" w:space="0" w:color="auto"/>
            <w:bottom w:val="none" w:sz="0" w:space="0" w:color="auto"/>
            <w:right w:val="none" w:sz="0" w:space="0" w:color="auto"/>
          </w:divBdr>
        </w:div>
        <w:div w:id="1887062596">
          <w:marLeft w:val="0"/>
          <w:marRight w:val="0"/>
          <w:marTop w:val="120"/>
          <w:marBottom w:val="0"/>
          <w:divBdr>
            <w:top w:val="none" w:sz="0" w:space="0" w:color="auto"/>
            <w:left w:val="none" w:sz="0" w:space="0" w:color="auto"/>
            <w:bottom w:val="none" w:sz="0" w:space="0" w:color="auto"/>
            <w:right w:val="none" w:sz="0" w:space="0" w:color="auto"/>
          </w:divBdr>
        </w:div>
        <w:div w:id="524178154">
          <w:marLeft w:val="0"/>
          <w:marRight w:val="0"/>
          <w:marTop w:val="120"/>
          <w:marBottom w:val="0"/>
          <w:divBdr>
            <w:top w:val="none" w:sz="0" w:space="0" w:color="auto"/>
            <w:left w:val="none" w:sz="0" w:space="0" w:color="auto"/>
            <w:bottom w:val="none" w:sz="0" w:space="0" w:color="auto"/>
            <w:right w:val="none" w:sz="0" w:space="0" w:color="auto"/>
          </w:divBdr>
        </w:div>
        <w:div w:id="174619018">
          <w:marLeft w:val="0"/>
          <w:marRight w:val="0"/>
          <w:marTop w:val="120"/>
          <w:marBottom w:val="0"/>
          <w:divBdr>
            <w:top w:val="none" w:sz="0" w:space="0" w:color="auto"/>
            <w:left w:val="none" w:sz="0" w:space="0" w:color="auto"/>
            <w:bottom w:val="none" w:sz="0" w:space="0" w:color="auto"/>
            <w:right w:val="none" w:sz="0" w:space="0" w:color="auto"/>
          </w:divBdr>
        </w:div>
        <w:div w:id="1469123558">
          <w:marLeft w:val="0"/>
          <w:marRight w:val="0"/>
          <w:marTop w:val="120"/>
          <w:marBottom w:val="0"/>
          <w:divBdr>
            <w:top w:val="none" w:sz="0" w:space="0" w:color="auto"/>
            <w:left w:val="none" w:sz="0" w:space="0" w:color="auto"/>
            <w:bottom w:val="none" w:sz="0" w:space="0" w:color="auto"/>
            <w:right w:val="none" w:sz="0" w:space="0" w:color="auto"/>
          </w:divBdr>
        </w:div>
        <w:div w:id="1878472923">
          <w:marLeft w:val="0"/>
          <w:marRight w:val="0"/>
          <w:marTop w:val="120"/>
          <w:marBottom w:val="0"/>
          <w:divBdr>
            <w:top w:val="none" w:sz="0" w:space="0" w:color="auto"/>
            <w:left w:val="none" w:sz="0" w:space="0" w:color="auto"/>
            <w:bottom w:val="none" w:sz="0" w:space="0" w:color="auto"/>
            <w:right w:val="none" w:sz="0" w:space="0" w:color="auto"/>
          </w:divBdr>
        </w:div>
        <w:div w:id="1190804031">
          <w:marLeft w:val="0"/>
          <w:marRight w:val="0"/>
          <w:marTop w:val="120"/>
          <w:marBottom w:val="0"/>
          <w:divBdr>
            <w:top w:val="none" w:sz="0" w:space="0" w:color="auto"/>
            <w:left w:val="none" w:sz="0" w:space="0" w:color="auto"/>
            <w:bottom w:val="none" w:sz="0" w:space="0" w:color="auto"/>
            <w:right w:val="none" w:sz="0" w:space="0" w:color="auto"/>
          </w:divBdr>
        </w:div>
        <w:div w:id="523714252">
          <w:marLeft w:val="0"/>
          <w:marRight w:val="0"/>
          <w:marTop w:val="120"/>
          <w:marBottom w:val="0"/>
          <w:divBdr>
            <w:top w:val="none" w:sz="0" w:space="0" w:color="auto"/>
            <w:left w:val="none" w:sz="0" w:space="0" w:color="auto"/>
            <w:bottom w:val="none" w:sz="0" w:space="0" w:color="auto"/>
            <w:right w:val="none" w:sz="0" w:space="0" w:color="auto"/>
          </w:divBdr>
        </w:div>
        <w:div w:id="1114594182">
          <w:marLeft w:val="0"/>
          <w:marRight w:val="0"/>
          <w:marTop w:val="120"/>
          <w:marBottom w:val="0"/>
          <w:divBdr>
            <w:top w:val="none" w:sz="0" w:space="0" w:color="auto"/>
            <w:left w:val="none" w:sz="0" w:space="0" w:color="auto"/>
            <w:bottom w:val="none" w:sz="0" w:space="0" w:color="auto"/>
            <w:right w:val="none" w:sz="0" w:space="0" w:color="auto"/>
          </w:divBdr>
        </w:div>
        <w:div w:id="952589846">
          <w:marLeft w:val="0"/>
          <w:marRight w:val="0"/>
          <w:marTop w:val="120"/>
          <w:marBottom w:val="0"/>
          <w:divBdr>
            <w:top w:val="none" w:sz="0" w:space="0" w:color="auto"/>
            <w:left w:val="none" w:sz="0" w:space="0" w:color="auto"/>
            <w:bottom w:val="none" w:sz="0" w:space="0" w:color="auto"/>
            <w:right w:val="none" w:sz="0" w:space="0" w:color="auto"/>
          </w:divBdr>
        </w:div>
        <w:div w:id="325982883">
          <w:marLeft w:val="0"/>
          <w:marRight w:val="0"/>
          <w:marTop w:val="120"/>
          <w:marBottom w:val="0"/>
          <w:divBdr>
            <w:top w:val="none" w:sz="0" w:space="0" w:color="auto"/>
            <w:left w:val="none" w:sz="0" w:space="0" w:color="auto"/>
            <w:bottom w:val="none" w:sz="0" w:space="0" w:color="auto"/>
            <w:right w:val="none" w:sz="0" w:space="0" w:color="auto"/>
          </w:divBdr>
        </w:div>
        <w:div w:id="1615361940">
          <w:marLeft w:val="0"/>
          <w:marRight w:val="0"/>
          <w:marTop w:val="120"/>
          <w:marBottom w:val="0"/>
          <w:divBdr>
            <w:top w:val="none" w:sz="0" w:space="0" w:color="auto"/>
            <w:left w:val="none" w:sz="0" w:space="0" w:color="auto"/>
            <w:bottom w:val="none" w:sz="0" w:space="0" w:color="auto"/>
            <w:right w:val="none" w:sz="0" w:space="0" w:color="auto"/>
          </w:divBdr>
        </w:div>
        <w:div w:id="332684407">
          <w:marLeft w:val="0"/>
          <w:marRight w:val="0"/>
          <w:marTop w:val="120"/>
          <w:marBottom w:val="0"/>
          <w:divBdr>
            <w:top w:val="none" w:sz="0" w:space="0" w:color="auto"/>
            <w:left w:val="none" w:sz="0" w:space="0" w:color="auto"/>
            <w:bottom w:val="none" w:sz="0" w:space="0" w:color="auto"/>
            <w:right w:val="none" w:sz="0" w:space="0" w:color="auto"/>
          </w:divBdr>
        </w:div>
        <w:div w:id="1738431913">
          <w:marLeft w:val="0"/>
          <w:marRight w:val="0"/>
          <w:marTop w:val="120"/>
          <w:marBottom w:val="0"/>
          <w:divBdr>
            <w:top w:val="none" w:sz="0" w:space="0" w:color="auto"/>
            <w:left w:val="none" w:sz="0" w:space="0" w:color="auto"/>
            <w:bottom w:val="none" w:sz="0" w:space="0" w:color="auto"/>
            <w:right w:val="none" w:sz="0" w:space="0" w:color="auto"/>
          </w:divBdr>
        </w:div>
        <w:div w:id="1252161889">
          <w:marLeft w:val="0"/>
          <w:marRight w:val="0"/>
          <w:marTop w:val="120"/>
          <w:marBottom w:val="0"/>
          <w:divBdr>
            <w:top w:val="none" w:sz="0" w:space="0" w:color="auto"/>
            <w:left w:val="none" w:sz="0" w:space="0" w:color="auto"/>
            <w:bottom w:val="none" w:sz="0" w:space="0" w:color="auto"/>
            <w:right w:val="none" w:sz="0" w:space="0" w:color="auto"/>
          </w:divBdr>
        </w:div>
        <w:div w:id="741483529">
          <w:marLeft w:val="0"/>
          <w:marRight w:val="0"/>
          <w:marTop w:val="120"/>
          <w:marBottom w:val="0"/>
          <w:divBdr>
            <w:top w:val="none" w:sz="0" w:space="0" w:color="auto"/>
            <w:left w:val="none" w:sz="0" w:space="0" w:color="auto"/>
            <w:bottom w:val="none" w:sz="0" w:space="0" w:color="auto"/>
            <w:right w:val="none" w:sz="0" w:space="0" w:color="auto"/>
          </w:divBdr>
        </w:div>
        <w:div w:id="302857750">
          <w:marLeft w:val="0"/>
          <w:marRight w:val="0"/>
          <w:marTop w:val="120"/>
          <w:marBottom w:val="0"/>
          <w:divBdr>
            <w:top w:val="none" w:sz="0" w:space="0" w:color="auto"/>
            <w:left w:val="none" w:sz="0" w:space="0" w:color="auto"/>
            <w:bottom w:val="none" w:sz="0" w:space="0" w:color="auto"/>
            <w:right w:val="none" w:sz="0" w:space="0" w:color="auto"/>
          </w:divBdr>
        </w:div>
        <w:div w:id="2028751603">
          <w:marLeft w:val="0"/>
          <w:marRight w:val="0"/>
          <w:marTop w:val="120"/>
          <w:marBottom w:val="0"/>
          <w:divBdr>
            <w:top w:val="none" w:sz="0" w:space="0" w:color="auto"/>
            <w:left w:val="none" w:sz="0" w:space="0" w:color="auto"/>
            <w:bottom w:val="none" w:sz="0" w:space="0" w:color="auto"/>
            <w:right w:val="none" w:sz="0" w:space="0" w:color="auto"/>
          </w:divBdr>
        </w:div>
        <w:div w:id="1649362433">
          <w:marLeft w:val="0"/>
          <w:marRight w:val="0"/>
          <w:marTop w:val="120"/>
          <w:marBottom w:val="0"/>
          <w:divBdr>
            <w:top w:val="none" w:sz="0" w:space="0" w:color="auto"/>
            <w:left w:val="none" w:sz="0" w:space="0" w:color="auto"/>
            <w:bottom w:val="none" w:sz="0" w:space="0" w:color="auto"/>
            <w:right w:val="none" w:sz="0" w:space="0" w:color="auto"/>
          </w:divBdr>
        </w:div>
        <w:div w:id="889413910">
          <w:marLeft w:val="0"/>
          <w:marRight w:val="0"/>
          <w:marTop w:val="120"/>
          <w:marBottom w:val="0"/>
          <w:divBdr>
            <w:top w:val="none" w:sz="0" w:space="0" w:color="auto"/>
            <w:left w:val="none" w:sz="0" w:space="0" w:color="auto"/>
            <w:bottom w:val="none" w:sz="0" w:space="0" w:color="auto"/>
            <w:right w:val="none" w:sz="0" w:space="0" w:color="auto"/>
          </w:divBdr>
        </w:div>
        <w:div w:id="896940586">
          <w:marLeft w:val="0"/>
          <w:marRight w:val="0"/>
          <w:marTop w:val="120"/>
          <w:marBottom w:val="0"/>
          <w:divBdr>
            <w:top w:val="none" w:sz="0" w:space="0" w:color="auto"/>
            <w:left w:val="none" w:sz="0" w:space="0" w:color="auto"/>
            <w:bottom w:val="none" w:sz="0" w:space="0" w:color="auto"/>
            <w:right w:val="none" w:sz="0" w:space="0" w:color="auto"/>
          </w:divBdr>
        </w:div>
        <w:div w:id="2033913628">
          <w:marLeft w:val="0"/>
          <w:marRight w:val="0"/>
          <w:marTop w:val="120"/>
          <w:marBottom w:val="0"/>
          <w:divBdr>
            <w:top w:val="none" w:sz="0" w:space="0" w:color="auto"/>
            <w:left w:val="none" w:sz="0" w:space="0" w:color="auto"/>
            <w:bottom w:val="none" w:sz="0" w:space="0" w:color="auto"/>
            <w:right w:val="none" w:sz="0" w:space="0" w:color="auto"/>
          </w:divBdr>
        </w:div>
        <w:div w:id="1074357314">
          <w:marLeft w:val="0"/>
          <w:marRight w:val="0"/>
          <w:marTop w:val="120"/>
          <w:marBottom w:val="0"/>
          <w:divBdr>
            <w:top w:val="none" w:sz="0" w:space="0" w:color="auto"/>
            <w:left w:val="none" w:sz="0" w:space="0" w:color="auto"/>
            <w:bottom w:val="none" w:sz="0" w:space="0" w:color="auto"/>
            <w:right w:val="none" w:sz="0" w:space="0" w:color="auto"/>
          </w:divBdr>
        </w:div>
        <w:div w:id="1749378300">
          <w:marLeft w:val="0"/>
          <w:marRight w:val="0"/>
          <w:marTop w:val="120"/>
          <w:marBottom w:val="0"/>
          <w:divBdr>
            <w:top w:val="none" w:sz="0" w:space="0" w:color="auto"/>
            <w:left w:val="none" w:sz="0" w:space="0" w:color="auto"/>
            <w:bottom w:val="none" w:sz="0" w:space="0" w:color="auto"/>
            <w:right w:val="none" w:sz="0" w:space="0" w:color="auto"/>
          </w:divBdr>
        </w:div>
        <w:div w:id="1313290273">
          <w:marLeft w:val="0"/>
          <w:marRight w:val="0"/>
          <w:marTop w:val="120"/>
          <w:marBottom w:val="0"/>
          <w:divBdr>
            <w:top w:val="none" w:sz="0" w:space="0" w:color="auto"/>
            <w:left w:val="none" w:sz="0" w:space="0" w:color="auto"/>
            <w:bottom w:val="none" w:sz="0" w:space="0" w:color="auto"/>
            <w:right w:val="none" w:sz="0" w:space="0" w:color="auto"/>
          </w:divBdr>
        </w:div>
        <w:div w:id="1934821641">
          <w:marLeft w:val="0"/>
          <w:marRight w:val="0"/>
          <w:marTop w:val="120"/>
          <w:marBottom w:val="0"/>
          <w:divBdr>
            <w:top w:val="none" w:sz="0" w:space="0" w:color="auto"/>
            <w:left w:val="none" w:sz="0" w:space="0" w:color="auto"/>
            <w:bottom w:val="none" w:sz="0" w:space="0" w:color="auto"/>
            <w:right w:val="none" w:sz="0" w:space="0" w:color="auto"/>
          </w:divBdr>
        </w:div>
        <w:div w:id="756437739">
          <w:marLeft w:val="0"/>
          <w:marRight w:val="0"/>
          <w:marTop w:val="120"/>
          <w:marBottom w:val="0"/>
          <w:divBdr>
            <w:top w:val="none" w:sz="0" w:space="0" w:color="auto"/>
            <w:left w:val="none" w:sz="0" w:space="0" w:color="auto"/>
            <w:bottom w:val="none" w:sz="0" w:space="0" w:color="auto"/>
            <w:right w:val="none" w:sz="0" w:space="0" w:color="auto"/>
          </w:divBdr>
        </w:div>
        <w:div w:id="368070856">
          <w:marLeft w:val="0"/>
          <w:marRight w:val="0"/>
          <w:marTop w:val="120"/>
          <w:marBottom w:val="0"/>
          <w:divBdr>
            <w:top w:val="none" w:sz="0" w:space="0" w:color="auto"/>
            <w:left w:val="none" w:sz="0" w:space="0" w:color="auto"/>
            <w:bottom w:val="none" w:sz="0" w:space="0" w:color="auto"/>
            <w:right w:val="none" w:sz="0" w:space="0" w:color="auto"/>
          </w:divBdr>
        </w:div>
        <w:div w:id="879588015">
          <w:marLeft w:val="0"/>
          <w:marRight w:val="0"/>
          <w:marTop w:val="120"/>
          <w:marBottom w:val="0"/>
          <w:divBdr>
            <w:top w:val="none" w:sz="0" w:space="0" w:color="auto"/>
            <w:left w:val="none" w:sz="0" w:space="0" w:color="auto"/>
            <w:bottom w:val="none" w:sz="0" w:space="0" w:color="auto"/>
            <w:right w:val="none" w:sz="0" w:space="0" w:color="auto"/>
          </w:divBdr>
        </w:div>
        <w:div w:id="1534271454">
          <w:marLeft w:val="0"/>
          <w:marRight w:val="0"/>
          <w:marTop w:val="120"/>
          <w:marBottom w:val="0"/>
          <w:divBdr>
            <w:top w:val="none" w:sz="0" w:space="0" w:color="auto"/>
            <w:left w:val="none" w:sz="0" w:space="0" w:color="auto"/>
            <w:bottom w:val="none" w:sz="0" w:space="0" w:color="auto"/>
            <w:right w:val="none" w:sz="0" w:space="0" w:color="auto"/>
          </w:divBdr>
        </w:div>
        <w:div w:id="184757598">
          <w:marLeft w:val="0"/>
          <w:marRight w:val="0"/>
          <w:marTop w:val="120"/>
          <w:marBottom w:val="0"/>
          <w:divBdr>
            <w:top w:val="none" w:sz="0" w:space="0" w:color="auto"/>
            <w:left w:val="none" w:sz="0" w:space="0" w:color="auto"/>
            <w:bottom w:val="none" w:sz="0" w:space="0" w:color="auto"/>
            <w:right w:val="none" w:sz="0" w:space="0" w:color="auto"/>
          </w:divBdr>
        </w:div>
        <w:div w:id="314991811">
          <w:marLeft w:val="0"/>
          <w:marRight w:val="0"/>
          <w:marTop w:val="120"/>
          <w:marBottom w:val="0"/>
          <w:divBdr>
            <w:top w:val="none" w:sz="0" w:space="0" w:color="auto"/>
            <w:left w:val="none" w:sz="0" w:space="0" w:color="auto"/>
            <w:bottom w:val="none" w:sz="0" w:space="0" w:color="auto"/>
            <w:right w:val="none" w:sz="0" w:space="0" w:color="auto"/>
          </w:divBdr>
        </w:div>
        <w:div w:id="1015571710">
          <w:marLeft w:val="0"/>
          <w:marRight w:val="0"/>
          <w:marTop w:val="120"/>
          <w:marBottom w:val="0"/>
          <w:divBdr>
            <w:top w:val="none" w:sz="0" w:space="0" w:color="auto"/>
            <w:left w:val="none" w:sz="0" w:space="0" w:color="auto"/>
            <w:bottom w:val="none" w:sz="0" w:space="0" w:color="auto"/>
            <w:right w:val="none" w:sz="0" w:space="0" w:color="auto"/>
          </w:divBdr>
        </w:div>
        <w:div w:id="178324046">
          <w:marLeft w:val="0"/>
          <w:marRight w:val="0"/>
          <w:marTop w:val="120"/>
          <w:marBottom w:val="0"/>
          <w:divBdr>
            <w:top w:val="none" w:sz="0" w:space="0" w:color="auto"/>
            <w:left w:val="none" w:sz="0" w:space="0" w:color="auto"/>
            <w:bottom w:val="none" w:sz="0" w:space="0" w:color="auto"/>
            <w:right w:val="none" w:sz="0" w:space="0" w:color="auto"/>
          </w:divBdr>
        </w:div>
        <w:div w:id="21112007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9503/3d0cac60971a511280cbba229d9b6329c07731f7/" TargetMode="External"/><Relationship Id="rId13" Type="http://schemas.openxmlformats.org/officeDocument/2006/relationships/hyperlink" Target="http://www.consultant.ru/document/cons_doc_LAW_28165/2b69106f66601ba5b58aaeb82395674581c66c20/" TargetMode="External"/><Relationship Id="rId18" Type="http://schemas.openxmlformats.org/officeDocument/2006/relationships/hyperlink" Target="http://www.consultant.ru/document/cons_doc_LAW_34237/68963aac24a4d3163a0c8276095a05d6d77c4511/" TargetMode="External"/><Relationship Id="rId26" Type="http://schemas.openxmlformats.org/officeDocument/2006/relationships/hyperlink" Target="http://www.consultant.ru/document/cons_doc_LAW_19671/10fdf2faa7c30851b7673ac4ca893589c88f24f7/" TargetMode="External"/><Relationship Id="rId3" Type="http://schemas.openxmlformats.org/officeDocument/2006/relationships/settings" Target="settings.xml"/><Relationship Id="rId21" Type="http://schemas.openxmlformats.org/officeDocument/2006/relationships/hyperlink" Target="http://www.consultant.ru/document/cons_doc_LAW_28165/2b69106f66601ba5b58aaeb82395674581c66c20/" TargetMode="External"/><Relationship Id="rId7" Type="http://schemas.openxmlformats.org/officeDocument/2006/relationships/hyperlink" Target="http://www.consultant.ru/document/cons_doc_LAW_28165/1a005abea389b01567be43d86b87ef49117c9b6c/" TargetMode="External"/><Relationship Id="rId12" Type="http://schemas.openxmlformats.org/officeDocument/2006/relationships/hyperlink" Target="http://www.consultant.ru/document/cons_doc_LAW_189503/3d0cac60971a511280cbba229d9b6329c07731f7/" TargetMode="External"/><Relationship Id="rId17" Type="http://schemas.openxmlformats.org/officeDocument/2006/relationships/hyperlink" Target="http://www.consultant.ru/document/cons_doc_LAW_28165/9eda3239e0cf0c454457d605c5323675fefc2581/" TargetMode="External"/><Relationship Id="rId25" Type="http://schemas.openxmlformats.org/officeDocument/2006/relationships/hyperlink" Target="http://www.consultant.ru/document/cons_doc_LAW_28165/2b69106f66601ba5b58aaeb82395674581c66c20/" TargetMode="External"/><Relationship Id="rId2" Type="http://schemas.microsoft.com/office/2007/relationships/stylesWithEffects" Target="stylesWithEffects.xml"/><Relationship Id="rId16" Type="http://schemas.openxmlformats.org/officeDocument/2006/relationships/hyperlink" Target="http://www.consultant.ru/document/cons_doc_LAW_189503/3d0cac60971a511280cbba229d9b6329c07731f7/" TargetMode="External"/><Relationship Id="rId20" Type="http://schemas.openxmlformats.org/officeDocument/2006/relationships/hyperlink" Target="http://www.consultant.ru/document/cons_doc_LAW_28165/2b69106f66601ba5b58aaeb82395674581c66c20/" TargetMode="External"/><Relationship Id="rId29" Type="http://schemas.openxmlformats.org/officeDocument/2006/relationships/hyperlink" Target="http://www.consultant.ru/document/cons_doc_LAW_28165/2b69106f66601ba5b58aaeb82395674581c66c20/" TargetMode="External"/><Relationship Id="rId1" Type="http://schemas.openxmlformats.org/officeDocument/2006/relationships/styles" Target="styles.xml"/><Relationship Id="rId6" Type="http://schemas.openxmlformats.org/officeDocument/2006/relationships/hyperlink" Target="http://www.consultant.ru/document/cons_doc_LAW_28165/d5ddddc549f21e5c4a826cda7cb4efd57a1cff46/" TargetMode="External"/><Relationship Id="rId11" Type="http://schemas.openxmlformats.org/officeDocument/2006/relationships/hyperlink" Target="http://www.consultant.ru/document/cons_doc_LAW_10148/2984f7edda4699d58497f958a4782b7493fbbd20/" TargetMode="External"/><Relationship Id="rId24" Type="http://schemas.openxmlformats.org/officeDocument/2006/relationships/hyperlink" Target="http://www.consultant.ru/document/cons_doc_LAW_28165/2b69106f66601ba5b58aaeb82395674581c66c20/" TargetMode="External"/><Relationship Id="rId32" Type="http://schemas.openxmlformats.org/officeDocument/2006/relationships/theme" Target="theme/theme1.xml"/><Relationship Id="rId5" Type="http://schemas.openxmlformats.org/officeDocument/2006/relationships/hyperlink" Target="http://www.consultant.ru/document/cons_doc_LAW_28165/9b06776ae7a39546ad4e3ba04bebef14baabf8d2/" TargetMode="External"/><Relationship Id="rId15" Type="http://schemas.openxmlformats.org/officeDocument/2006/relationships/hyperlink" Target="http://www.consultant.ru/document/cons_doc_LAW_28165/1a005abea389b01567be43d86b87ef49117c9b6c/" TargetMode="External"/><Relationship Id="rId23" Type="http://schemas.openxmlformats.org/officeDocument/2006/relationships/hyperlink" Target="http://www.consultant.ru/document/cons_doc_LAW_174825/dc984da2ef83168c07922237d0d8e98808b9a6dd/" TargetMode="External"/><Relationship Id="rId28" Type="http://schemas.openxmlformats.org/officeDocument/2006/relationships/hyperlink" Target="http://www.consultant.ru/document/cons_doc_LAW_28165/2b69106f66601ba5b58aaeb82395674581c66c20/" TargetMode="External"/><Relationship Id="rId10" Type="http://schemas.openxmlformats.org/officeDocument/2006/relationships/hyperlink" Target="http://www.consultant.ru/document/cons_doc_LAW_28165/d5ddddc549f21e5c4a826cda7cb4efd57a1cff46/" TargetMode="External"/><Relationship Id="rId19" Type="http://schemas.openxmlformats.org/officeDocument/2006/relationships/hyperlink" Target="http://www.consultant.ru/document/cons_doc_LAW_189503/3d0cac60971a511280cbba229d9b6329c07731f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165/d5ddddc549f21e5c4a826cda7cb4efd57a1cff46/" TargetMode="External"/><Relationship Id="rId14" Type="http://schemas.openxmlformats.org/officeDocument/2006/relationships/hyperlink" Target="http://www.consultant.ru/document/cons_doc_LAW_28165/d5ddddc549f21e5c4a826cda7cb4efd57a1cff46/" TargetMode="External"/><Relationship Id="rId22" Type="http://schemas.openxmlformats.org/officeDocument/2006/relationships/hyperlink" Target="http://www.consultant.ru/document/cons_doc_LAW_28165/2b69106f66601ba5b58aaeb82395674581c66c20/" TargetMode="External"/><Relationship Id="rId27" Type="http://schemas.openxmlformats.org/officeDocument/2006/relationships/hyperlink" Target="http://www.consultant.ru/document/cons_doc_LAW_28165/2b69106f66601ba5b58aaeb82395674581c66c20/" TargetMode="External"/><Relationship Id="rId30" Type="http://schemas.openxmlformats.org/officeDocument/2006/relationships/hyperlink" Target="http://www.consultant.ru/document/cons_doc_LAW_28165/98962bba352ceac4dd3eee0bc93a58f3ddd4e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3</cp:revision>
  <dcterms:created xsi:type="dcterms:W3CDTF">2017-08-07T17:14:00Z</dcterms:created>
  <dcterms:modified xsi:type="dcterms:W3CDTF">2017-08-07T17:14:00Z</dcterms:modified>
</cp:coreProperties>
</file>