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F" w:rsidRPr="00A24F5E" w:rsidRDefault="001A7BAF" w:rsidP="001A7BAF">
      <w:pPr>
        <w:spacing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Приказом Минфина России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  <w:t>от 6 мая 1999 г. N 32н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after="0" w:line="240" w:lineRule="auto"/>
        <w:ind w:left="225" w:right="225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  <w:r w:rsidRPr="00A24F5E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 БУХГАЛТЕРСКОМУ УЧЕТУ "ДОХОДЫ ОРГАНИЗАЦИИ"</w:t>
      </w:r>
      <w:r w:rsidRPr="00A24F5E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ПБУ 9/99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(в ред. Приказов Минфина России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  <w:t>от 30.12.1999 N 107н, от 30.03.2001 N 27н,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  <w:t>от 18.09.2006 </w:t>
      </w:r>
      <w:r w:rsidRPr="00A24F5E">
        <w:rPr>
          <w:rFonts w:eastAsia="Times New Roman" w:cs="Times New Roman"/>
          <w:szCs w:val="24"/>
          <w:bdr w:val="none" w:sz="0" w:space="0" w:color="auto" w:frame="1"/>
          <w:lang w:eastAsia="ru-RU"/>
        </w:rPr>
        <w:t>N 116н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, от 27.11.2006 </w:t>
      </w:r>
      <w:r w:rsidRPr="00A24F5E">
        <w:rPr>
          <w:rFonts w:eastAsia="Times New Roman" w:cs="Times New Roman"/>
          <w:szCs w:val="24"/>
          <w:bdr w:val="none" w:sz="0" w:space="0" w:color="auto" w:frame="1"/>
          <w:lang w:eastAsia="ru-RU"/>
        </w:rPr>
        <w:t>N 156н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,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25.10.2010 </w:t>
      </w:r>
      <w:r w:rsidRPr="00A24F5E">
        <w:rPr>
          <w:rFonts w:eastAsia="Times New Roman" w:cs="Times New Roman"/>
          <w:szCs w:val="24"/>
          <w:bdr w:val="none" w:sz="0" w:space="0" w:color="auto" w:frame="1"/>
          <w:lang w:eastAsia="ru-RU"/>
        </w:rPr>
        <w:t>N 132н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, от 08.11.2010 </w:t>
      </w:r>
      <w:r w:rsidRPr="00A24F5E">
        <w:rPr>
          <w:rFonts w:eastAsia="Times New Roman" w:cs="Times New Roman"/>
          <w:szCs w:val="24"/>
          <w:bdr w:val="none" w:sz="0" w:space="0" w:color="auto" w:frame="1"/>
          <w:lang w:eastAsia="ru-RU"/>
        </w:rPr>
        <w:t>N 144н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,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  <w:t>от 27.04.2012 </w:t>
      </w:r>
      <w:r w:rsidRPr="00A24F5E">
        <w:rPr>
          <w:rFonts w:eastAsia="Times New Roman" w:cs="Times New Roman"/>
          <w:szCs w:val="24"/>
          <w:bdr w:val="none" w:sz="0" w:space="0" w:color="auto" w:frame="1"/>
          <w:lang w:eastAsia="ru-RU"/>
        </w:rPr>
        <w:t>N 55н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bookmarkStart w:id="0" w:name="1"/>
      <w:bookmarkEnd w:id="0"/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I. Общие положения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1. Настоящее Положение устанавливает правила формирования в бухгалтерском учете информации о доходах коммерческих организаций (кроме кредитных и страховых организаций), являющихся юридическими лицами по законодательству Российской Федерации.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Применительно к настоящему Положению некоммерческие организации (кроме государственных (муниципальных) учреждений) признают доходы от предпринимательской и иной деятельности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> 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Приказов Минфина России от 30.12.1999 N 107н, от 25.10.2010 N 132н)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2.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3. Для целей настоящего Положения не признаются доходами организации поступления от других юридических и физических лиц: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 договорам комиссии, агентским и иным аналогичным договорам в пользу комитента, принципала и т.п.;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порядке предварительной оплаты продукции, товаров, работ, услуг;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авансов в счет оплаты продукции, товаров, работ, услуг;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задатка;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залог, если договором предусмотрена передача заложенного имущества залогодержателю;</w:t>
      </w:r>
    </w:p>
    <w:p w:rsidR="001A7BAF" w:rsidRPr="00A24F5E" w:rsidRDefault="001A7BAF" w:rsidP="001A7BAF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погашение кредита, займа, предоставленного заемщику.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4. Доходы организации в зависимости от их характера, условия получения и направлений деятельности организации подразделяются 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а) доходы от обычных видов деятельности;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lastRenderedPageBreak/>
        <w:t>б) прочие доходы;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18.09.2006 N 116н)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в) исключен. - </w:t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Приказ Минфина России от 18.09.2006 N 116н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Для целей настоящего Положения доходы, отличные от доходов от обычных видов деятельности, считаются прочими поступлениями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18.09.2006 N 116н)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Положения, характера своей деятельности, вида доходов и условий их получения.</w:t>
      </w:r>
    </w:p>
    <w:p w:rsidR="0059590F" w:rsidRPr="00A24F5E" w:rsidRDefault="0059590F" w:rsidP="001A7BA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1" w:name="2"/>
      <w:bookmarkEnd w:id="1"/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II. Доходы от обычных видов деятельности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5. Доходами от обычных видов деятельности является выручка от продажи продукции и товаров, поступления, связанные с выполнением работ, оказанием услуг (далее - выручка).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организациях, предметом деятельности которых является предоставление за плату во временное пользование (временное владение и пользование) своих активов по договору аренды, выручкой считаются поступления, получение которых связанно с этой деятельностью (арендная плата).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организациях, предметом деятельности которых является предоставление за плату прав, возникающих из патентов на изобретения, промышленные образцы и других видов интеллектуальной собственности, выручкой считаются поступления, получение которых связано с этой деятельностью (лицензионные платежи (включая роялти) за пользование объектами интеллектуальной собственности).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организациях, предметом деятельности которых является участие в уставных капиталах других организаций, выручкой считаются поступления, получение которых связано с этой деятельностью.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Доходы, получаемые организацией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не является предметом деятельности организации, относятся к прочим доходам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18.09.2006 N 116н)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 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 (с учетом положений пункта 3 настоящего Положения).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Если величина поступления покрывает лишь часть выручки, то выручка, принимаемая к бухгалтерскому учету, определяется как сумма поступления и дебиторской задолженности (в части, не покрытой поступлением).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6.1. Величина поступления и (или) дебиторской задолженности определяется исходя из цены, установленной договором между организацией и покупателем (заказчиком) или пользователем активов организации. 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Если цена не предусмотрена в договоре и не может быть установлена исходя из условий договора, то для определения величины поступления и (или) дебиторской задолженности принимается цена, по которой в сравнимых обстоятельствах обычно организация определяет выручку в отношении аналогичной продукции (товаров, работ, услуг) либо предоставления во временное пользование (временное владение и пользование) аналогичных активов.</w:t>
      </w:r>
      <w:proofErr w:type="gramEnd"/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6.2. При продаже продукции и товаров, выполнении работ, оказании услуг на условиях коммерческого кредита, предоставляемого в виде отсрочки и рассрочки оплаты, выручка принимается к бухгалтерскому учету в полной сумме дебиторской задолженности.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6.3. Величина поступления и (или) дебиторской задолженности по договорам, предусматривающим исполнение обязательств (оплату) не денежными средствами, принимается к бухгалтерскому учету по стоимости товаров (ценностей), полученных или подлежащих получению организацией. Стоимость товаров (ценностей), полученных или подлежащих получению организацией, устанавливают исходя из цены, по которой в сравнимых обстоятельствах обычно организация определяет стоимость аналогичных товаров (ценностей).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При невозможности установить стоимость товаров (ценностей), полученных организацией, величина поступления и (или) дебиторской задолженности определяется стоимостью продукции (товаров), переданной или подлежащей передаче организацией. Стоимость продукции (товаров), переданной или подлежащей передаче организацией, устанавливается исходя из цены, по которой в сравнимых обстоятельствах обычно организация определяет выручку в отношении аналогичной продукции (товаров).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6.4. В случае изменения обязательства по договору первоначальная величина поступления и (или) дебиторской задолженности корректируется исходя из стоимости актива, подлежащего получению организацией. Стоимость актива, подлежащего получению организацией, устанавливают исходя из цены, по которой в сравнимых обстоятельствах обычно организация определяет стоимость аналогичных активов.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6.5. Величина поступления и (или) дебиторской задолженности определяется с учетом всех предоставленных организации согласно договору скидок (накидок).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6.6. Исключен. - </w:t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Приказ Минфина России от 27.11.2006 N 156н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6.7. При образовании в соответствии с правилами бухгалтерского учета резервов сомнительных долгов величина выручки не изменяется.</w:t>
      </w:r>
    </w:p>
    <w:p w:rsidR="0059590F" w:rsidRPr="00A24F5E" w:rsidRDefault="0059590F" w:rsidP="001A7BA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2" w:name="3"/>
      <w:bookmarkEnd w:id="2"/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III. Прочие поступления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7. Прочими доходами являются: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18.09.2006 N 116н)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поступления, связанные с предоставлением за плату во временное пользование (временное владение и пользование) активов организации (с учетом положений пункта 5 настоящего Положения);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30.03.2001 N 27н)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(с учетом положений пункта 5 настоящего Положения);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30.03.2001 N 27н)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поступления, связанные с участием в уставных капиталах других организаций (включая проценты и иные доходы по ценным бумагам) (с учетом положений пункта 5 настоящего Положения);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30.03.2001 N 27н)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прибыль, полученная организацией в результате совместной деятельности (по договору простого товарищества);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абзац исключен. - </w:t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Приказ Минфина России от 18.09.2006 N 116н</w:t>
      </w:r>
      <w:r w:rsidRPr="00A24F5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штрафы, пени, неустойки за нарушение условий договоров;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активы, полученные безвозмездно, в том числе по договору дарения;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 в возмещение причиненных организации убытков;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прибыль прошлых лет, выявленная в отчетном году;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суммы кредиторской и депонентской задолженности, по которым истек срок исковой давности;</w:t>
      </w:r>
    </w:p>
    <w:p w:rsidR="001A7BAF" w:rsidRPr="00A24F5E" w:rsidRDefault="001A7BAF" w:rsidP="001A7BAF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курсовые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разницы;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сумма </w:t>
      </w:r>
      <w:proofErr w:type="spellStart"/>
      <w:r w:rsidRPr="00A24F5E">
        <w:rPr>
          <w:rFonts w:eastAsia="Times New Roman" w:cs="Times New Roman"/>
          <w:color w:val="000000"/>
          <w:szCs w:val="24"/>
          <w:lang w:eastAsia="ru-RU"/>
        </w:rPr>
        <w:t>дооценки</w:t>
      </w:r>
      <w:proofErr w:type="spell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активов;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30.03.2001 N 27н)</w:t>
      </w:r>
    </w:p>
    <w:p w:rsidR="001A7BAF" w:rsidRPr="00A24F5E" w:rsidRDefault="001A7BAF" w:rsidP="001A7BAF">
      <w:pPr>
        <w:numPr>
          <w:ilvl w:val="0"/>
          <w:numId w:val="2"/>
        </w:numPr>
        <w:spacing w:after="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прочие доходы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18.09.2006 N 116н)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9. Прочими доходами также являются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стоимость материальных ценностей, остающихся от списания непригодных к восстановлению и дальнейшему использованию активов, и т.п.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18.09.2006 N 116н)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10. Для целей бухгалтерского учета величина прочих поступлений определяется в следующем порядке: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10.1. 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Величину поступлений от продажи основных средств и иных активов, отличных от денежных средств (кроме иностранной валюты), продукции, товаров, а также суммы процентов, полученных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определяют в порядке, аналогичном предусмотренному пунктом 6 настоящего Положения.</w:t>
      </w:r>
      <w:proofErr w:type="gramEnd"/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10.2. Штрафы, пени, неустойки за нарушения условий договоров, а также возмещения причиненных организации убытков принимаются к бухгалтерскому учету в суммах, присужденных судом или признанных должником.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10.3. Активы, полученные безвозмездно, принимаются к бухгалтерскому учету по рыночной стоимости.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активов. Данные о ценах, действующих на дату принятия к бухгалтерскому учету, должны быть подтверждены документально или путем проведения экспертизы.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10.4. Кредиторская задолженность, по которой срок исковой давности истек, включается в доход организации в сумме, в которой эта задолженность была отражена в бухгалтерском учете организации.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10.5. Суммы </w:t>
      </w:r>
      <w:proofErr w:type="spellStart"/>
      <w:r w:rsidRPr="00A24F5E">
        <w:rPr>
          <w:rFonts w:eastAsia="Times New Roman" w:cs="Times New Roman"/>
          <w:color w:val="000000"/>
          <w:szCs w:val="24"/>
          <w:lang w:eastAsia="ru-RU"/>
        </w:rPr>
        <w:t>дооценки</w:t>
      </w:r>
      <w:proofErr w:type="spell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активов определяют в соответствии с правилами, установленными для проведения переоценки активов.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10.6. Иные поступления принимаются к бухгалтерскому учету в фактических суммах.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11. Прочие поступления подлежат зачислению на счет прибылей и убытков организации, кроме случаев, когда правилами бухгалтерского учета установлен другой порядок.</w:t>
      </w:r>
    </w:p>
    <w:p w:rsidR="0059590F" w:rsidRPr="00A24F5E" w:rsidRDefault="0059590F" w:rsidP="001A7BA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3" w:name="4"/>
      <w:bookmarkEnd w:id="3"/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IV. Признание доходов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12. Выручка признается в бухгалтерском учете при наличии следующих условий: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а) организация имеет право на получение этой выручки, вытекающее из конкретного договора или подтвержденное иным соответствующим образом;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б) сумма выручки может быть определена;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в) 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д) расходы, которые произведены или будут произведены в связи с этой операцией, могут быть определены.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Если в отношении денежных средств и иных активов, полученных организацией в оплату, не исполнено хотя бы одно из названных условий, то в бухгалтерском учете организации признается кредиторская задолженность, а не выручка.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Для признания в бухгалтерском учете выручки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 и от участия в уставных капиталах других организаций, должны быть одновременно соблюдены условия, определенные в подпунктах "а", "б" и "в" настоящего пункта.</w:t>
      </w:r>
      <w:proofErr w:type="gramEnd"/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Субъекты малого предпринимательства, за исключением эмитентов публично размещаемых ценных бумаг, а также социально ориентированные некоммерческие организации вправе признавать выручку по мере поступления денежных средств от покупателей (заказчиков) при соблюдении условий, определенных в подпунктах "а", "б", "в" и "д" настоящего пункта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а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бзац введен Приказом Минфина России от 08.11.2010 N 144н, в ред. Приказа Минфина России от 27.04.2012 N 55н)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выполнения работы, оказания услуги, изготовления продукции в целом.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Выручка от выполнения конкретной работы, оказания конкретной услуги, продажи конкретного изделия признается в бухгалтерском учете по мере готовности, если возможно определить готовность работы, услуги, изделия.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 отношении разных по характеру и условиям выполнения работ, оказания услуг, изготовления изделий организация может применять в одном отчетном периоде одновременно разные способы признания выручки, предусмотренные настоящим пунктом.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14. Если сумма выручки от продажи продукции, выполнения работы, оказания услуги не может быть определена, то она принимается к бухгалтерскому учету в размере признанных в бухгалтерском учете расходов по изготовлению этой продукции, выполнению этой работы, оказанию этой услуги, которые будут впоследствии возмещены организации.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15. 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в порядке, аналогичном 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предусмотренному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пунктом 12 настоящего Положения.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16. Прочие поступления признаются в бухгалтерском учете в следующем порядке:</w:t>
      </w:r>
    </w:p>
    <w:p w:rsidR="001A7BAF" w:rsidRPr="00A24F5E" w:rsidRDefault="001A7BAF" w:rsidP="001A7BAF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поступления от продажи основных средств и иных активов, отличных от денежных средств (кроме иностранной валюты), продукции, товаров, а также проценты, полученные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- в порядке, аналогичном предусмотренному пунктом 12 настоящего Положения.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При этом для целей бухгалтерского учета проценты начисляются за каждый истекший отчетный период в соответствии с условиями договора;</w:t>
      </w:r>
    </w:p>
    <w:p w:rsidR="001A7BAF" w:rsidRPr="00A24F5E" w:rsidRDefault="001A7BAF" w:rsidP="001A7BAF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штрафы, пени, неустойки за нарушение условий договоров, а также возмещения причиненных организации убытков - в отчетном периоде, в котором судом вынесено решение об их взыскании или они признаны должником;</w:t>
      </w:r>
    </w:p>
    <w:p w:rsidR="001A7BAF" w:rsidRPr="00A24F5E" w:rsidRDefault="001A7BAF" w:rsidP="001A7BAF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суммы кредиторской и депонентской задолженности, по которой срок исковой давности истек, - в отчетном периоде, в котором срок исковой давности истек;</w:t>
      </w:r>
    </w:p>
    <w:p w:rsidR="001A7BAF" w:rsidRPr="00A24F5E" w:rsidRDefault="001A7BAF" w:rsidP="001A7BAF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суммы </w:t>
      </w:r>
      <w:proofErr w:type="spellStart"/>
      <w:r w:rsidRPr="00A24F5E">
        <w:rPr>
          <w:rFonts w:eastAsia="Times New Roman" w:cs="Times New Roman"/>
          <w:color w:val="000000"/>
          <w:szCs w:val="24"/>
          <w:lang w:eastAsia="ru-RU"/>
        </w:rPr>
        <w:t>дооценки</w:t>
      </w:r>
      <w:proofErr w:type="spell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активов - в отчетном периоде, к которому относится дата, по состоянию на которую произведена переоценка;</w:t>
      </w:r>
    </w:p>
    <w:p w:rsidR="001A7BAF" w:rsidRPr="00A24F5E" w:rsidRDefault="001A7BAF" w:rsidP="001A7BAF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иные поступления - по мере образования (выявления).</w:t>
      </w:r>
    </w:p>
    <w:p w:rsidR="0059590F" w:rsidRPr="00A24F5E" w:rsidRDefault="0059590F" w:rsidP="001A7BAF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4" w:name="5"/>
      <w:bookmarkEnd w:id="4"/>
    </w:p>
    <w:p w:rsidR="001A7BAF" w:rsidRPr="00A24F5E" w:rsidRDefault="001A7BAF" w:rsidP="001A7BA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V. Раскрытие информации в бухгалтерской отчетности</w:t>
      </w:r>
    </w:p>
    <w:p w:rsidR="001A7BAF" w:rsidRPr="00A24F5E" w:rsidRDefault="001A7BAF" w:rsidP="001A7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17. В составе информации об учетной политике организации в бухгалтерской отчетности подлежит раскрытию как минимум следующая информация: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а) о порядке признания выручки организации;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б) о способе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18. В отчете о прибылях и убытках доходы организации за отчетный период отражаются с подразделением на выручку и прочие доходы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18.09.2006 N 116н)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</w:t>
      </w:r>
      <w:proofErr w:type="gramStart"/>
      <w:r w:rsidRPr="00A24F5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18.09.2006 N 116н)</w:t>
      </w:r>
    </w:p>
    <w:p w:rsidR="001A7BAF" w:rsidRPr="00A24F5E" w:rsidRDefault="001A7BAF" w:rsidP="001A7BAF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18.2. Прочие доходы могут показываться в отчете о прибылях и убытках за минусом расходов, относящихся к этим доходам, когда:</w:t>
      </w:r>
      <w:r w:rsidRPr="00A24F5E">
        <w:rPr>
          <w:rFonts w:eastAsia="Times New Roman" w:cs="Times New Roman"/>
          <w:color w:val="000000"/>
          <w:szCs w:val="24"/>
          <w:lang w:eastAsia="ru-RU"/>
        </w:rPr>
        <w:br/>
      </w:r>
      <w:r w:rsidRPr="00A24F5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(в ред. Приказа Минфина России от 18.09.2006 N 116н)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а) соответствующие правила бухгалтерского учета предусматривают или не запрещают такое отражение доходов;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б) доходы и связанные с ними расходы, возникающие в результате одного и того же или аналогичного по характеру факта хозяйственной деятельности (например, предоставление во временное пользование (временное владение и пользование) своих активов), не являются существенными для характеристики финансового положения организации.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19. В отношении выручки, полученной в результате выполнения договоров, предусматривающих исполнение обязательств (оплату) </w:t>
      </w:r>
      <w:proofErr w:type="spellStart"/>
      <w:r w:rsidRPr="00A24F5E">
        <w:rPr>
          <w:rFonts w:eastAsia="Times New Roman" w:cs="Times New Roman"/>
          <w:color w:val="000000"/>
          <w:szCs w:val="24"/>
          <w:lang w:eastAsia="ru-RU"/>
        </w:rPr>
        <w:t>неденежными</w:t>
      </w:r>
      <w:proofErr w:type="spellEnd"/>
      <w:r w:rsidRPr="00A24F5E">
        <w:rPr>
          <w:rFonts w:eastAsia="Times New Roman" w:cs="Times New Roman"/>
          <w:color w:val="000000"/>
          <w:szCs w:val="24"/>
          <w:lang w:eastAsia="ru-RU"/>
        </w:rPr>
        <w:t xml:space="preserve"> средствами, подлежит раскрытию как минимум следующая информация: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а) общее количество организаций, с которыми осуществляются указанные договоры, с указанием организаций, на которые приходится основная часть такой выручки;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б) доля выручки, полученной по указанным договорам со связанными организациями;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в) способ определения стоимости продукции (товаров), переданной организацией.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20. Прочие доходы организации за отчетный период, которые в соответствии с правилами бухгалтерского учета не зачисляются на счет прибылей и убытков, подлежат раскрытию в бухгалтерской отчетности обособленно.</w:t>
      </w:r>
    </w:p>
    <w:p w:rsidR="001A7BAF" w:rsidRPr="00A24F5E" w:rsidRDefault="001A7BAF" w:rsidP="001A7BAF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24F5E">
        <w:rPr>
          <w:rFonts w:eastAsia="Times New Roman" w:cs="Times New Roman"/>
          <w:color w:val="000000"/>
          <w:szCs w:val="24"/>
          <w:lang w:eastAsia="ru-RU"/>
        </w:rPr>
        <w:t>21. Построение бухгалтерского учета должно обеспечить возможность раскрытия информации о доходах организации в разрезе текущей, инвестиционной и финансовой деятельности.</w:t>
      </w:r>
    </w:p>
    <w:p w:rsidR="00615CE0" w:rsidRPr="00A24F5E" w:rsidRDefault="00615CE0">
      <w:pPr>
        <w:rPr>
          <w:sz w:val="20"/>
        </w:rPr>
      </w:pPr>
    </w:p>
    <w:p w:rsidR="0099428D" w:rsidRPr="00A24F5E" w:rsidRDefault="0099428D" w:rsidP="0099428D">
      <w:pPr>
        <w:jc w:val="center"/>
        <w:rPr>
          <w:color w:val="FF0000"/>
          <w:szCs w:val="24"/>
        </w:rPr>
      </w:pPr>
      <w:bookmarkStart w:id="5" w:name="_GoBack"/>
      <w:bookmarkEnd w:id="5"/>
    </w:p>
    <w:sectPr w:rsidR="0099428D" w:rsidRPr="00A24F5E" w:rsidSect="009D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377"/>
    <w:multiLevelType w:val="multilevel"/>
    <w:tmpl w:val="C96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634B"/>
    <w:multiLevelType w:val="multilevel"/>
    <w:tmpl w:val="E53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6201C"/>
    <w:multiLevelType w:val="multilevel"/>
    <w:tmpl w:val="2D0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087F"/>
    <w:rsid w:val="001A7BAF"/>
    <w:rsid w:val="0059590F"/>
    <w:rsid w:val="00615CE0"/>
    <w:rsid w:val="0090087F"/>
    <w:rsid w:val="0099428D"/>
    <w:rsid w:val="009D1015"/>
    <w:rsid w:val="00A2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677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2016-09-12T13:43:00Z</dcterms:created>
  <dcterms:modified xsi:type="dcterms:W3CDTF">2016-09-12T13:43:00Z</dcterms:modified>
</cp:coreProperties>
</file>