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19" w:rsidRPr="000B0A90" w:rsidRDefault="00B02019" w:rsidP="00B02019">
      <w:pPr>
        <w:spacing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Утверждено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  <w:t>Приказом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  <w:t>Министерства финансов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  <w:t>Российской Федерации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  <w:t>от 19 ноября 2002 г. N 115н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</w:p>
    <w:p w:rsidR="00B02019" w:rsidRPr="000B0A90" w:rsidRDefault="00B02019" w:rsidP="00B02019">
      <w:pPr>
        <w:spacing w:after="0" w:line="240" w:lineRule="auto"/>
        <w:ind w:left="225" w:right="225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B0A90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  <w:r w:rsidRPr="000B0A9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ПО БУХГАЛТЕРСКОМУ УЧЕТУ</w:t>
      </w:r>
      <w:r w:rsidRPr="000B0A9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"УЧЕТ РАСХОДОВ НА НАУЧНО - ИССЛЕДОВАТЕЛЬСКИЕ,</w:t>
      </w:r>
      <w:r w:rsidRPr="000B0A9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ОПЫТНО - КОНСТРУКТОРСКИЕ И ТЕХНОЛОГИЧЕСКИЕ РАБОТЫ"</w:t>
      </w:r>
      <w:r w:rsidRPr="000B0A9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ПБУ 17/02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02019" w:rsidRPr="000B0A90" w:rsidRDefault="00B02019" w:rsidP="00B02019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(в ред. Приказа Минфина РФ от 18.09.2006 N 116н)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bookmarkStart w:id="0" w:name="1"/>
      <w:bookmarkEnd w:id="0"/>
    </w:p>
    <w:p w:rsidR="00B02019" w:rsidRPr="000B0A90" w:rsidRDefault="00B02019" w:rsidP="00B02019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I. Общие положения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1. Настоящее Положение устанавливает правила формирования в бухгалтерском учете и бухгалтерской отчетности коммерческих организаций, являющихся юридическими лицами по законодательству Российской Федерации (за исключением кредитных организаций), информации о расходах, связанных с выполнением научно-исследовательских, опытно-конструкторских и технологических работ.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Настоящее Положение применяется организациями, которые выполняют научно-исследовательские, опытно-конструкторские и технологические работы собственными силами или (и) являются по договору заказчиком указанных работ.</w:t>
      </w:r>
    </w:p>
    <w:p w:rsidR="00B02019" w:rsidRPr="000B0A90" w:rsidRDefault="00B02019" w:rsidP="00B02019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2. Настоящее Положение применяется в отношении научно-исследовательских, опытно-конструкторских и технологических работ: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br/>
        <w:t> </w:t>
      </w:r>
      <w:proofErr w:type="gramStart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Для целей настоящего Положения к научно-исследовательским работам относятся работы, связанные с осуществлением научной (научно - исследовательской), научно - технической деятельности и экспериментальных разработок, определенные Федеральным законом от 23 августа 1996 г. N 127-ФЗ "О науке и государственной научно - технической политике" (Собрание законодательства Российской Федерации, 1996, N 35, ст. 4137; 1998, N 30, ст. 3607, N 51, ст. 6271;2000, N 2, ст. 162; 2001, N 1 (часть II), ст. 20).</w:t>
      </w:r>
      <w:proofErr w:type="gramEnd"/>
    </w:p>
    <w:p w:rsidR="00B02019" w:rsidRPr="000B0A90" w:rsidRDefault="00B02019" w:rsidP="00B02019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по которым получены результаты, подлежащие правовой охране, но не оформленные в установленном законодательством порядке;</w:t>
      </w:r>
      <w:proofErr w:type="gramEnd"/>
    </w:p>
    <w:p w:rsidR="00B02019" w:rsidRPr="000B0A90" w:rsidRDefault="00B02019" w:rsidP="00B02019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которым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 получены результаты, не подлежащие правовой охране в соответствии с нормами действующего законодательства.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3. Настоящее Положение не применяется к незаконченным научно-исследовательским, опытно-конструкторским и технологическим работам, а также к научно-исследовательским, опытно-конструкторским и технологическим работам, результаты которых учитываются в бухгалтерском учете в качестве нематериальных активов.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Настоящее Положение не применяется в отношении расходов организации на освоение природных ресурсов (проведение геологического изучения недр, разведка (</w:t>
      </w:r>
      <w:proofErr w:type="spellStart"/>
      <w:r w:rsidRPr="000B0A90">
        <w:rPr>
          <w:rFonts w:eastAsia="Times New Roman" w:cs="Times New Roman"/>
          <w:color w:val="000000"/>
          <w:szCs w:val="24"/>
          <w:lang w:eastAsia="ru-RU"/>
        </w:rPr>
        <w:t>доразведка</w:t>
      </w:r>
      <w:proofErr w:type="spellEnd"/>
      <w:r w:rsidRPr="000B0A90">
        <w:rPr>
          <w:rFonts w:eastAsia="Times New Roman" w:cs="Times New Roman"/>
          <w:color w:val="000000"/>
          <w:szCs w:val="24"/>
          <w:lang w:eastAsia="ru-RU"/>
        </w:rPr>
        <w:t>) осваиваемых месторождений, работы подготовительного характера в добывающих отраслях и т.п.), затрат на подготовку и освоение производства, новых организаций, цехов, агрегатов (пусковые расходы), затрат на подготовку и освоение производства продукции, не предназначенной для серийного и массового производства, а также затрат, связанных с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B0A90">
        <w:rPr>
          <w:rFonts w:eastAsia="Times New Roman" w:cs="Times New Roman"/>
          <w:color w:val="000000"/>
          <w:szCs w:val="24"/>
          <w:lang w:eastAsia="ru-RU"/>
        </w:rPr>
        <w:lastRenderedPageBreak/>
        <w:t>совершенствованием технологии и организации производства, с улучшением качества продукции, изменением дизайна продукции и других эксплуатационных свойств, осуществляемых в ходе производственного (технологического) процесса.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5. Информация о расходах по научно-исследовательским, опытно-конструкторским и технологическим работам отражается в бухгалтерском учете в качестве вложений во внеоборотные активы.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Аналитический учет расходов по научно-исследовательским, опытно-конструкторским и технологическим работам ведется обособленно по видам работ, договорам (заказам).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6. Единицей бухгалтерского учета расходов по научно-исследовательским, опытно-конструкторским и технологическим работам является инвентарный объект.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Инвентарным объектом для целей настоящего Положения считается совокупность расходов по выполненной работе, результаты которой самостоятельно используются в производстве продукции (выполнении работ, оказании услуг) или для управленческих нужд организации.</w:t>
      </w:r>
    </w:p>
    <w:p w:rsidR="00AA413E" w:rsidRPr="000B0A90" w:rsidRDefault="00AA413E" w:rsidP="00B02019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1" w:name="2"/>
      <w:bookmarkEnd w:id="1"/>
    </w:p>
    <w:p w:rsidR="00B02019" w:rsidRPr="000B0A90" w:rsidRDefault="00B02019" w:rsidP="00B02019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II. Признание расходов по научно-исследовательским,</w:t>
      </w: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br/>
        <w:t>опытно-конструкторским и технологическим работам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7. Расходы по научно-исследовательским, опытно-конструкторским и технологическим работам признаются в бухгалтерском учете при наличии следующих условий:</w:t>
      </w:r>
    </w:p>
    <w:p w:rsidR="00B02019" w:rsidRPr="000B0A90" w:rsidRDefault="00B02019" w:rsidP="00B02019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сумма расхода может быть определена и подтверждена;</w:t>
      </w:r>
    </w:p>
    <w:p w:rsidR="00B02019" w:rsidRPr="000B0A90" w:rsidRDefault="00B02019" w:rsidP="00B02019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имеется документальное подтверждение выполнения работ (акт приемки выполненных работ и т.п.);</w:t>
      </w:r>
    </w:p>
    <w:p w:rsidR="00B02019" w:rsidRPr="000B0A90" w:rsidRDefault="00B02019" w:rsidP="00B02019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использование результатов работ для производственных и (или) управленческих нужд приведет к получению будущих экономических выгод (дохода);</w:t>
      </w:r>
    </w:p>
    <w:p w:rsidR="00B02019" w:rsidRPr="000B0A90" w:rsidRDefault="00B02019" w:rsidP="00B02019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использование результатов научно-исследовательских, опытно-конструкторских и технологических работ может быть продемонстрировано.</w:t>
      </w:r>
    </w:p>
    <w:p w:rsidR="00B02019" w:rsidRPr="000B0A90" w:rsidRDefault="00B02019" w:rsidP="00B02019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В случае невыполнения хотя бы одного из вышеуказанных условий расходы организации, связанные с выполнением научно-исследовательских, опытно-конструкторских и технологических работ, признаются прочими расходами отчетного периода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РФ от 18.09.2006 N 116н)</w:t>
      </w:r>
    </w:p>
    <w:p w:rsidR="00B02019" w:rsidRPr="000B0A90" w:rsidRDefault="00B02019" w:rsidP="00B02019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Признаются прочими расходами отчетного периода также расходы по научно-исследовательским, опытно-конструкторским и технологическим работам, которые не дали положительного результата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РФ от 18.09.2006 N 116н)</w:t>
      </w:r>
    </w:p>
    <w:p w:rsidR="00B02019" w:rsidRPr="000B0A90" w:rsidRDefault="00B02019" w:rsidP="00B02019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8. Если расходы по научно-исследовательским, опытно-конструкторским и технологическим работам в предшествовавших отчетных периодах были признаны прочими расходами, то они не могут быть признаны </w:t>
      </w:r>
      <w:proofErr w:type="spellStart"/>
      <w:r w:rsidRPr="000B0A90">
        <w:rPr>
          <w:rFonts w:eastAsia="Times New Roman" w:cs="Times New Roman"/>
          <w:color w:val="000000"/>
          <w:szCs w:val="24"/>
          <w:lang w:eastAsia="ru-RU"/>
        </w:rPr>
        <w:t>внеоборотными</w:t>
      </w:r>
      <w:proofErr w:type="spellEnd"/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 активами в последующих отчетных периодах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РФ от 18.09.2006 N 116н)</w:t>
      </w:r>
    </w:p>
    <w:p w:rsidR="00AA413E" w:rsidRPr="000B0A90" w:rsidRDefault="00AA413E" w:rsidP="00B02019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2" w:name="3"/>
      <w:bookmarkEnd w:id="2"/>
    </w:p>
    <w:p w:rsidR="00B02019" w:rsidRPr="000B0A90" w:rsidRDefault="00B02019" w:rsidP="00B02019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III. Состав расходов по научно-исследовательским,</w:t>
      </w: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br/>
        <w:t>опытно-конструкторским и технологическим работам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9. К расходам по научно-исследовательским, опытно-конструкторским и технологическим работам относятся все фактические расходы, связанные с выполнением указанных работ.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В состав расходов при выполнении научно-исследовательских, опытно-конструкторских и технологических работ включаются: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стоимость материально - производственных запасов и услуг сторонних организаций и лиц, используемых при выполнении указанных работ;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затраты на заработную плату и другие выплаты работникам, непосредственно занятым при выполнении указанных работ по трудовому договору;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отчисления на социальные нужды (в т.ч. единый социальный налог);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стоимость спецоборудования и специальной оснастки, предназначенных для использования в качестве объектов испытаний и исследований;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амортизация объектов основных средств и нематериальных активов, используемых при выполнении указанных работ;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затраты на содержание и эксплуатацию научно - исследовательского оборудования, установок и сооружений, других объектов основных средств и иного имущества;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общехозяйственные расходы, в случае если они непосредственно связаны с выполнением данных работ;</w:t>
      </w:r>
    </w:p>
    <w:p w:rsidR="00B02019" w:rsidRPr="000B0A90" w:rsidRDefault="00B02019" w:rsidP="00B02019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прочие расходы, непосредственно связанные с выполнением научно-исследовательских, опытно-конструкторских и технологических работ, включая расходы по проведению испытаний.</w:t>
      </w:r>
    </w:p>
    <w:p w:rsidR="00AA413E" w:rsidRPr="000B0A90" w:rsidRDefault="00AA413E" w:rsidP="00B02019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3" w:name="4"/>
      <w:bookmarkEnd w:id="3"/>
    </w:p>
    <w:p w:rsidR="00B02019" w:rsidRPr="000B0A90" w:rsidRDefault="00B02019" w:rsidP="00B02019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IV. Списание расходов по научно - исследовательским,</w:t>
      </w:r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br/>
        <w:t>опытно-конструкторским и технологическим работам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10. Расходы по научно-исследовательским, опытно-конструкторским и технологическим работам подлежат списанию на расходы по обычным видам деятельности с 1-го числа месяца, следующего за месяцем, в котором было начато фактическое применение полученных результатов от выполнения указанных работ в производстве продукции (выполнении работ, оказании услуг), либо для управленческих нужд организации.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11. Списание расходов по каждой выполненной научно - исследовательской, опытно - конструкторской, технологической работе производится одним из следующих способов:</w:t>
      </w:r>
    </w:p>
    <w:p w:rsidR="00B02019" w:rsidRPr="000B0A90" w:rsidRDefault="00B02019" w:rsidP="00B02019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линейный способ;</w:t>
      </w:r>
    </w:p>
    <w:p w:rsidR="00B02019" w:rsidRPr="000B0A90" w:rsidRDefault="00B02019" w:rsidP="00B02019">
      <w:pPr>
        <w:numPr>
          <w:ilvl w:val="0"/>
          <w:numId w:val="4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способ списания расходов пропорционально объему продукции (работ, услуг).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Срок списания расходов по научно-исследовательским, опытно-конструкторским и технологическим работам определяется организацией самостоятельно исходя из ожидаемого срока использования полученных результатов научно-исследовательских, опытно-конструкторских и технологических работ, в течение которого организация может получать экономические выгоды (доход), но не более 5 лет. При этом указанный срок полезного использования не может превышать срок деятельности организации.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12. Списание расходов по научно-исследовательским, опытно-конструкторским и технологическим работам линейным способом осуществляется равномерно в течение принятого срока.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13. 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При способе списания расходов пропорционально объему продукции (работ, услуг) определение суммы расходов по научно-исследовательским, опытно-конструкторским и технологическим работам, подлежащей списанию в отчетном периоде, производится исходя из количественного показателя объема продукции (работ, услуг) в отчетном периоде и соотношения общей суммы расходов по конкретной научно - исследовательской, опытно - конструкторской, технологической работе и всего предполагаемого объема продукции (работ, услуг) за весь срок применения результатов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 конкретной работы.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14. В течение отчетного года списание расходов по научно-исследовательским, опытно-конструкторским и технологическим работам на расходы по обычным видам деятельности осуществляется равномерно в размере 1/12 годовой суммы независимо от применяемого способа списания расходов.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Изменение принятого способа списания расходов по конкретным научно-исследовательским, опытно-конструкторским и технологическим работам в течение срока применения результатов конкретной работы не производится.</w:t>
      </w:r>
    </w:p>
    <w:p w:rsidR="00B02019" w:rsidRPr="000B0A90" w:rsidRDefault="00B02019" w:rsidP="00B02019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15. 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В случае прекращения использования результатов конкретной научно-исследовательской, опытно-конструкторской или технологической работы в производстве продукции (выполнении работ, оказании услуг) либо для управленческих нужд организации, а также когда становится очевидным неполучение экономических выгод в будущем от применения результатов указанной работы, сумма расходов по такой научно-исследовательской, опытно-конструкторской или технологической работе, не отнесенная на расходы по обычным видам деятельности, подлежит списанию на прочие расходы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t xml:space="preserve"> отчетного периода на дату принятия решения о прекращении использования результатов данной работы</w:t>
      </w:r>
      <w:proofErr w:type="gramStart"/>
      <w:r w:rsidRPr="000B0A90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РФ от 18.09.2006 N 116н)</w:t>
      </w:r>
    </w:p>
    <w:p w:rsidR="00AA413E" w:rsidRPr="000B0A90" w:rsidRDefault="00AA413E" w:rsidP="00B02019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4" w:name="5"/>
      <w:bookmarkEnd w:id="4"/>
    </w:p>
    <w:p w:rsidR="00B02019" w:rsidRPr="000B0A90" w:rsidRDefault="00B02019" w:rsidP="00B02019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5" w:name="_GoBack"/>
      <w:bookmarkEnd w:id="5"/>
      <w:r w:rsidRPr="000B0A9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V. Раскрытие информации в бухгалтерской отчетности</w:t>
      </w:r>
    </w:p>
    <w:p w:rsidR="00B02019" w:rsidRPr="000B0A90" w:rsidRDefault="00B02019" w:rsidP="00B020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16. В бухгалтерской отчетности организации должна отражаться информация:</w:t>
      </w:r>
    </w:p>
    <w:p w:rsidR="00B02019" w:rsidRPr="000B0A90" w:rsidRDefault="00B02019" w:rsidP="00B02019">
      <w:pPr>
        <w:numPr>
          <w:ilvl w:val="0"/>
          <w:numId w:val="5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 сумме расходов, отнесенных в отчетном периоде на расходы по обычным видам деятельности и на прочие расходы по видам работ;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РФ от 18.09.2006 N 116н)</w:t>
      </w:r>
    </w:p>
    <w:p w:rsidR="00B02019" w:rsidRPr="000B0A90" w:rsidRDefault="00B02019" w:rsidP="00B02019">
      <w:pPr>
        <w:numPr>
          <w:ilvl w:val="0"/>
          <w:numId w:val="5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 сумме расходов по научно-исследовательским, опытно-конструкторским и технологическим работам, не списанным на расходы по обычным видам деятельности и (или) на прочие расходы;</w:t>
      </w:r>
      <w:r w:rsidRPr="000B0A90">
        <w:rPr>
          <w:rFonts w:eastAsia="Times New Roman" w:cs="Times New Roman"/>
          <w:color w:val="000000"/>
          <w:szCs w:val="24"/>
          <w:lang w:eastAsia="ru-RU"/>
        </w:rPr>
        <w:br/>
      </w:r>
      <w:r w:rsidRPr="000B0A90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РФ от 18.09.2006 N 116н)</w:t>
      </w:r>
    </w:p>
    <w:p w:rsidR="00B02019" w:rsidRPr="000B0A90" w:rsidRDefault="00B02019" w:rsidP="00B02019">
      <w:pPr>
        <w:numPr>
          <w:ilvl w:val="0"/>
          <w:numId w:val="5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 сумме расходов по незаконченным научно-исследовательским, опытно-конструкторским и технологическим работам.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В случае существенности информация о расходах по научно-исследовательским, опытно-конструкторским и технологическим работам отражается в бухгалтерском балансе по самостоятельной группе статей актива (раздел "Внеоборотные активы").</w:t>
      </w:r>
    </w:p>
    <w:p w:rsidR="00B02019" w:rsidRPr="000B0A90" w:rsidRDefault="00B02019" w:rsidP="00B02019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17. В составе информации об учетной политике организации в бухгалтерской отчетности подлежит раскрытию, как минимум, следующая информация:</w:t>
      </w:r>
    </w:p>
    <w:p w:rsidR="00B02019" w:rsidRPr="000B0A90" w:rsidRDefault="00B02019" w:rsidP="00B02019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 способах списания расходов по научно-исследовательским, опытно-конструкторским и технологическим работам;</w:t>
      </w:r>
    </w:p>
    <w:p w:rsidR="00B02019" w:rsidRPr="000B0A90" w:rsidRDefault="00B02019" w:rsidP="00B02019">
      <w:pPr>
        <w:numPr>
          <w:ilvl w:val="0"/>
          <w:numId w:val="6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B0A90">
        <w:rPr>
          <w:rFonts w:eastAsia="Times New Roman" w:cs="Times New Roman"/>
          <w:color w:val="000000"/>
          <w:szCs w:val="24"/>
          <w:lang w:eastAsia="ru-RU"/>
        </w:rPr>
        <w:t>о принятых организацией сроках применения результатов научно-исследовательских, опытно-конструкторских и технологических работ.</w:t>
      </w:r>
    </w:p>
    <w:p w:rsidR="00A16EAE" w:rsidRPr="000B0A90" w:rsidRDefault="00A16EAE">
      <w:pPr>
        <w:rPr>
          <w:sz w:val="20"/>
        </w:rPr>
      </w:pPr>
    </w:p>
    <w:sectPr w:rsidR="00A16EAE" w:rsidRPr="000B0A90" w:rsidSect="002F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872"/>
    <w:multiLevelType w:val="multilevel"/>
    <w:tmpl w:val="781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714B7"/>
    <w:multiLevelType w:val="multilevel"/>
    <w:tmpl w:val="DCB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86FCC"/>
    <w:multiLevelType w:val="multilevel"/>
    <w:tmpl w:val="624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951BA"/>
    <w:multiLevelType w:val="multilevel"/>
    <w:tmpl w:val="4AC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04E51"/>
    <w:multiLevelType w:val="multilevel"/>
    <w:tmpl w:val="9D4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F4E50"/>
    <w:multiLevelType w:val="multilevel"/>
    <w:tmpl w:val="0FB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7415"/>
    <w:rsid w:val="000B0A90"/>
    <w:rsid w:val="002F759C"/>
    <w:rsid w:val="00A16EAE"/>
    <w:rsid w:val="00AA413E"/>
    <w:rsid w:val="00B02019"/>
    <w:rsid w:val="00DE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1549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2016-09-13T13:59:00Z</dcterms:created>
  <dcterms:modified xsi:type="dcterms:W3CDTF">2016-09-13T13:59:00Z</dcterms:modified>
</cp:coreProperties>
</file>